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cs="Arial"/>
          <w:sz w:val="22"/>
          <w:szCs w:val="22"/>
        </w:rPr>
      </w:pPr>
      <w:r>
        <w:rPr>
          <w:rFonts w:cs="Arial" w:ascii="Arial" w:hAnsi="Arial"/>
          <w:sz w:val="22"/>
          <w:szCs w:val="22"/>
        </w:rPr>
      </w:r>
    </w:p>
    <w:p>
      <w:pPr>
        <w:pStyle w:val="Standard"/>
        <w:jc w:val="center"/>
        <w:rPr/>
      </w:pPr>
      <w:r>
        <w:rPr/>
        <w:drawing>
          <wp:inline distT="0" distB="0" distL="0" distR="0">
            <wp:extent cx="1423035" cy="128333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427" t="-412" r="-427" b="-412"/>
                    <a:stretch>
                      <a:fillRect/>
                    </a:stretch>
                  </pic:blipFill>
                  <pic:spPr bwMode="auto">
                    <a:xfrm>
                      <a:off x="0" y="0"/>
                      <a:ext cx="1423035" cy="1283335"/>
                    </a:xfrm>
                    <a:prstGeom prst="rect">
                      <a:avLst/>
                    </a:prstGeom>
                  </pic:spPr>
                </pic:pic>
              </a:graphicData>
            </a:graphic>
          </wp:inline>
        </w:drawing>
      </w:r>
    </w:p>
    <w:p>
      <w:pPr>
        <w:pStyle w:val="Standard"/>
        <w:jc w:val="center"/>
        <w:rPr>
          <w:rFonts w:ascii="Arial" w:hAnsi="Arial" w:cs="Arial"/>
          <w:b/>
          <w:b/>
          <w:sz w:val="22"/>
          <w:szCs w:val="22"/>
          <w:highlight w:val="green"/>
        </w:rPr>
      </w:pPr>
      <w:r>
        <w:rPr>
          <w:rFonts w:cs="Arial" w:ascii="Arial" w:hAnsi="Arial"/>
          <w:b/>
          <w:sz w:val="22"/>
          <w:szCs w:val="22"/>
          <w:highlight w:val="green"/>
        </w:rPr>
      </w:r>
    </w:p>
    <w:p>
      <w:pPr>
        <w:pStyle w:val="Standard"/>
        <w:jc w:val="center"/>
        <w:rPr>
          <w:rFonts w:ascii="Arial" w:hAnsi="Arial" w:cs="Arial"/>
          <w:b/>
          <w:b/>
          <w:sz w:val="22"/>
          <w:szCs w:val="22"/>
        </w:rPr>
      </w:pPr>
      <w:r>
        <w:rPr>
          <w:rFonts w:cs="Arial" w:ascii="Arial" w:hAnsi="Arial"/>
          <w:b/>
          <w:sz w:val="22"/>
          <w:szCs w:val="22"/>
        </w:rPr>
        <w:t>SERVIZIO VIABILITA’ E INFRASTRUTTURE</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r>
    </w:p>
    <w:p>
      <w:pPr>
        <w:pStyle w:val="Standard"/>
        <w:rPr>
          <w:rFonts w:ascii="Arial" w:hAnsi="Arial" w:cs="Arial"/>
          <w:b/>
          <w:b/>
          <w:color w:val="FF0000"/>
          <w:sz w:val="22"/>
          <w:szCs w:val="22"/>
          <w:highlight w:val="green"/>
        </w:rPr>
      </w:pPr>
      <w:r>
        <w:rPr>
          <w:rFonts w:cs="Arial" w:ascii="Arial" w:hAnsi="Arial"/>
          <w:b/>
          <w:color w:val="FF0000"/>
          <w:sz w:val="22"/>
          <w:szCs w:val="22"/>
          <w:highlight w:val="green"/>
        </w:rPr>
      </w:r>
    </w:p>
    <w:p>
      <w:pPr>
        <w:pStyle w:val="Standard"/>
        <w:rPr>
          <w:rFonts w:ascii="Arial" w:hAnsi="Arial" w:eastAsia="Arial" w:cs="Arial"/>
          <w:color w:val="FF0000"/>
          <w:sz w:val="22"/>
          <w:szCs w:val="22"/>
        </w:rPr>
      </w:pPr>
      <w:r>
        <w:rPr>
          <w:rFonts w:eastAsia="Arial" w:cs="Arial" w:ascii="Arial" w:hAnsi="Arial"/>
          <w:color w:val="FF0000"/>
          <w:sz w:val="22"/>
          <w:szCs w:val="22"/>
        </w:rPr>
        <w:t xml:space="preserve">   </w:t>
      </w:r>
    </w:p>
    <w:p>
      <w:pPr>
        <w:pStyle w:val="Standard"/>
        <w:jc w:val="center"/>
        <w:rPr>
          <w:rFonts w:ascii="Arial" w:hAnsi="Arial" w:cs="Arial"/>
          <w:b/>
          <w:b/>
          <w:sz w:val="22"/>
          <w:szCs w:val="22"/>
        </w:rPr>
      </w:pPr>
      <w:r>
        <w:rPr>
          <w:rFonts w:cs="Arial" w:ascii="Arial" w:hAnsi="Arial"/>
          <w:b/>
          <w:sz w:val="22"/>
          <w:szCs w:val="22"/>
        </w:rPr>
        <w:t>LETTERA D’ORDINE PER L’AFFIDAMENTO DI SERVIZI</w:t>
      </w:r>
    </w:p>
    <w:p>
      <w:pPr>
        <w:pStyle w:val="Standard"/>
        <w:jc w:val="center"/>
        <w:rPr>
          <w:rFonts w:ascii="Arial" w:hAnsi="Arial" w:cs="Arial"/>
          <w:i/>
          <w:i/>
          <w:sz w:val="22"/>
          <w:szCs w:val="22"/>
        </w:rPr>
      </w:pPr>
      <w:r>
        <w:rPr>
          <w:rFonts w:cs="Arial" w:ascii="Arial" w:hAnsi="Arial"/>
          <w:i/>
          <w:sz w:val="22"/>
          <w:szCs w:val="22"/>
        </w:rPr>
        <w:t xml:space="preserve">(ai sensi del D. Lgs. n. 50/2016 e del Regolamento per l’acquisizione in economia di beni, servizi e lavori approvato con atto C.P. n. 62/2011)   </w:t>
      </w:r>
    </w:p>
    <w:p>
      <w:pPr>
        <w:pStyle w:val="Standard"/>
        <w:jc w:val="center"/>
        <w:rPr>
          <w:rFonts w:ascii="Arial" w:hAnsi="Arial" w:cs="Arial"/>
          <w:i/>
          <w:i/>
          <w:sz w:val="22"/>
          <w:szCs w:val="22"/>
        </w:rPr>
      </w:pPr>
      <w:r>
        <w:rPr>
          <w:rFonts w:cs="Arial" w:ascii="Arial" w:hAnsi="Arial"/>
          <w:i/>
          <w:sz w:val="22"/>
          <w:szCs w:val="22"/>
        </w:rPr>
      </w:r>
    </w:p>
    <w:p>
      <w:pPr>
        <w:pStyle w:val="Standard"/>
        <w:jc w:val="center"/>
        <w:rPr>
          <w:rFonts w:ascii="Arial" w:hAnsi="Arial" w:cs="Arial"/>
          <w:sz w:val="22"/>
          <w:szCs w:val="22"/>
        </w:rPr>
      </w:pPr>
      <w:r>
        <w:rPr>
          <w:rFonts w:cs="Arial" w:ascii="Arial" w:hAnsi="Arial"/>
          <w:sz w:val="22"/>
          <w:szCs w:val="22"/>
        </w:rPr>
        <w:t>da parte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dell’Amministrazione Prov.le di Parma, P.le della Pace, n. 1- Parma – C.F. 80015230347</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Committente</w:t>
      </w:r>
    </w:p>
    <w:p>
      <w:pPr>
        <w:pStyle w:val="Standard"/>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sz w:val="22"/>
          <w:szCs w:val="22"/>
        </w:rPr>
      </w:r>
    </w:p>
    <w:p>
      <w:pPr>
        <w:pStyle w:val="Normal"/>
        <w:widowControl/>
        <w:suppressAutoHyphens w:val="false"/>
        <w:jc w:val="both"/>
        <w:textAlignment w:val="auto"/>
        <w:rPr/>
      </w:pPr>
      <w:r>
        <w:rPr>
          <w:rFonts w:eastAsia="Times New Roman" w:ascii="Arial" w:hAnsi="Arial"/>
          <w:kern w:val="0"/>
          <w:sz w:val="22"/>
          <w:szCs w:val="22"/>
          <w:lang w:bidi="ar-SA"/>
        </w:rPr>
        <w:t xml:space="preserve">Ing. Giuseppe Stefanini </w:t>
      </w:r>
      <w:r>
        <w:rPr>
          <w:rFonts w:eastAsia="Arial" w:ascii="Arial" w:hAnsi="Arial"/>
          <w:color w:val="000000"/>
          <w:kern w:val="0"/>
          <w:sz w:val="22"/>
          <w:szCs w:val="22"/>
          <w:lang w:bidi="ar-SA"/>
        </w:rPr>
        <w:t xml:space="preserve">P.I. IT02246880344, C.F. STFGPP63C03B042F, con sede in Via </w:t>
      </w:r>
      <w:r>
        <w:rPr>
          <w:rFonts w:eastAsia="Arial" w:ascii="Arial" w:hAnsi="Arial"/>
          <w:color w:val="000000"/>
          <w:sz w:val="22"/>
          <w:szCs w:val="22"/>
        </w:rPr>
        <w:t>Bergonzi n.4</w:t>
      </w:r>
      <w:r>
        <w:rPr>
          <w:rFonts w:eastAsia="Arial" w:ascii="Arial" w:hAnsi="Arial"/>
          <w:color w:val="000000"/>
          <w:kern w:val="0"/>
          <w:sz w:val="22"/>
          <w:szCs w:val="22"/>
          <w:lang w:bidi="ar-SA"/>
        </w:rPr>
        <w:t xml:space="preserve"> a Parma, </w:t>
      </w:r>
      <w:r>
        <w:rPr>
          <w:rFonts w:eastAsia="Times New Roman" w:ascii="Arial" w:hAnsi="Arial"/>
          <w:kern w:val="0"/>
          <w:sz w:val="22"/>
          <w:szCs w:val="22"/>
          <w:lang w:bidi="ar-SA"/>
        </w:rPr>
        <w:t>Prestatore d’opera (di seguito detto “Incaricato”)</w:t>
      </w:r>
    </w:p>
    <w:p>
      <w:pPr>
        <w:pStyle w:val="Standard"/>
        <w:jc w:val="both"/>
        <w:rPr>
          <w:rFonts w:ascii="Arial" w:hAnsi="Arial" w:cs="Arial"/>
          <w:b/>
          <w:b/>
          <w:bCs/>
          <w:sz w:val="22"/>
          <w:szCs w:val="22"/>
        </w:rPr>
      </w:pPr>
      <w:r>
        <w:rPr>
          <w:rFonts w:cs="Arial" w:ascii="Arial" w:hAnsi="Arial"/>
          <w:b/>
          <w:bCs/>
          <w:sz w:val="22"/>
          <w:szCs w:val="22"/>
        </w:rPr>
      </w:r>
    </w:p>
    <w:p>
      <w:pPr>
        <w:pStyle w:val="Standard"/>
        <w:jc w:val="both"/>
        <w:rPr/>
      </w:pPr>
      <w:r>
        <w:rPr>
          <w:rFonts w:cs="Arial" w:ascii="Arial" w:hAnsi="Arial"/>
          <w:b/>
          <w:bCs/>
          <w:sz w:val="22"/>
          <w:szCs w:val="22"/>
          <w:shd w:fill="FFFFFF" w:val="clear"/>
        </w:rPr>
        <w:t xml:space="preserve">OGGETTO: </w:t>
      </w:r>
      <w:r>
        <w:rPr>
          <w:rFonts w:cs="Arial" w:ascii="Arial" w:hAnsi="Arial"/>
          <w:b/>
          <w:bCs/>
          <w:color w:val="000000"/>
          <w:sz w:val="22"/>
          <w:szCs w:val="22"/>
          <w:shd w:fill="FFFFFF" w:val="clear"/>
        </w:rPr>
        <w:t xml:space="preserve">SERVIZIO VIABILITA' E INFRASTRUTTURE, TRASPORTI ECCEZIONALI - ESPROPRI, MANUTENZIONE PATRIMONIO - EDILIZIA SCOLASTICA – INCARICO PER </w:t>
      </w:r>
      <w:r>
        <w:rPr>
          <w:rFonts w:cs="Arial" w:ascii="Arial" w:hAnsi="Arial"/>
          <w:b/>
          <w:bCs/>
          <w:color w:val="000000"/>
          <w:sz w:val="22"/>
          <w:szCs w:val="22"/>
          <w:shd w:fill="FFFF00" w:val="clear"/>
        </w:rPr>
        <w:t xml:space="preserve"> </w:t>
      </w:r>
      <w:r>
        <w:rPr>
          <w:rFonts w:cs="Arial" w:ascii="Arial" w:hAnsi="Arial"/>
          <w:b/>
          <w:bCs/>
          <w:color w:val="000000"/>
          <w:sz w:val="22"/>
          <w:szCs w:val="22"/>
        </w:rPr>
        <w:t xml:space="preserve">COLLAUDI STATICI DI INTERVENTI DI </w:t>
      </w:r>
      <w:r>
        <w:rPr>
          <w:rFonts w:eastAsia="SimSun" w:cs="Arial" w:ascii="Arial" w:hAnsi="Arial"/>
          <w:b/>
          <w:bCs/>
          <w:color w:val="000000"/>
          <w:sz w:val="22"/>
          <w:szCs w:val="22"/>
          <w:lang w:bidi="hi-IN"/>
        </w:rPr>
        <w:t xml:space="preserve">MIGLIORAMENTO SISMICO </w:t>
      </w:r>
      <w:r>
        <w:rPr>
          <w:rFonts w:cs="Arial" w:ascii="Arial" w:hAnsi="Arial"/>
          <w:b/>
          <w:bCs/>
          <w:color w:val="000000"/>
          <w:sz w:val="22"/>
          <w:szCs w:val="22"/>
        </w:rPr>
        <w:t xml:space="preserve">DA REALIZZARSI NELL’AMBITO DI MESSA IN SICUREZZA STRADALI SP.21 AL KM 20+800 CUP: D67H21005470001 E SP.359R AL KM 76+050 - CUP: D37H21003890003 </w:t>
      </w:r>
      <w:r>
        <w:rPr>
          <w:rFonts w:cs="Arial" w:ascii="Arial" w:hAnsi="Arial"/>
          <w:b/>
          <w:bCs/>
          <w:sz w:val="22"/>
          <w:szCs w:val="22"/>
        </w:rPr>
        <w:t xml:space="preserve">– AFFIDAMENTO DELLA PRESTAZIONE DI COLLAUDATORE STATICO – </w:t>
      </w:r>
      <w:r>
        <w:rPr>
          <w:rFonts w:cs="Arial" w:ascii="Arial" w:hAnsi="Arial"/>
          <w:b/>
          <w:bCs/>
          <w:color w:val="000000"/>
          <w:sz w:val="22"/>
          <w:szCs w:val="22"/>
        </w:rPr>
        <w:t>CPV 71632200-9 -</w:t>
      </w:r>
    </w:p>
    <w:p>
      <w:pPr>
        <w:pStyle w:val="Standard"/>
        <w:jc w:val="both"/>
        <w:rPr/>
      </w:pPr>
      <w:r>
        <w:rPr>
          <w:rFonts w:cs="Arial" w:ascii="Arial" w:hAnsi="Arial"/>
          <w:b/>
          <w:bCs/>
          <w:sz w:val="22"/>
          <w:szCs w:val="22"/>
          <w:shd w:fill="FFFF00" w:val="clear"/>
        </w:rPr>
        <w:t>DET. DIRIGENZIALE N. xxxx del xx/xx/2022 .</w:t>
      </w:r>
    </w:p>
    <w:p>
      <w:pPr>
        <w:pStyle w:val="Standard"/>
        <w:jc w:val="both"/>
        <w:rPr>
          <w:rFonts w:ascii="Arial" w:hAnsi="Arial" w:cs="Arial"/>
          <w:b/>
          <w:b/>
          <w:bCs/>
          <w:sz w:val="22"/>
          <w:szCs w:val="22"/>
          <w:highlight w:val="white"/>
        </w:rPr>
      </w:pPr>
      <w:r>
        <w:rPr>
          <w:rFonts w:cs="Arial" w:ascii="Arial" w:hAnsi="Arial"/>
          <w:b/>
          <w:bCs/>
          <w:sz w:val="22"/>
          <w:szCs w:val="22"/>
          <w:highlight w:val="white"/>
        </w:rPr>
      </w:r>
    </w:p>
    <w:p>
      <w:pPr>
        <w:pStyle w:val="Standard"/>
        <w:rPr>
          <w:rFonts w:ascii="Arial" w:hAnsi="Arial" w:cs="Arial"/>
          <w:b/>
          <w:b/>
          <w:bCs/>
          <w:sz w:val="22"/>
          <w:szCs w:val="22"/>
          <w:highlight w:val="white"/>
        </w:rPr>
      </w:pPr>
      <w:r>
        <w:rPr>
          <w:rFonts w:cs="Arial" w:ascii="Arial" w:hAnsi="Arial"/>
          <w:b/>
          <w:bCs/>
          <w:sz w:val="22"/>
          <w:szCs w:val="22"/>
          <w:highlight w:val="white"/>
        </w:rPr>
      </w:r>
    </w:p>
    <w:p>
      <w:pPr>
        <w:pStyle w:val="Standard"/>
        <w:rPr>
          <w:rFonts w:ascii="Arial" w:hAnsi="Arial" w:cs="Arial"/>
          <w:b/>
          <w:b/>
          <w:sz w:val="22"/>
          <w:szCs w:val="22"/>
        </w:rPr>
      </w:pPr>
      <w:r>
        <w:rPr>
          <w:rFonts w:cs="Arial" w:ascii="Arial" w:hAnsi="Arial"/>
          <w:b/>
          <w:sz w:val="22"/>
          <w:szCs w:val="22"/>
        </w:rPr>
        <w:t xml:space="preserve">1) </w:t>
        <w:tab/>
        <w:t>Descrizione delle prestazioni da eseguire</w:t>
      </w:r>
    </w:p>
    <w:p>
      <w:pPr>
        <w:pStyle w:val="Standard"/>
        <w:rPr>
          <w:rFonts w:ascii="Arial" w:hAnsi="Arial" w:cs="Arial"/>
          <w:b/>
          <w:b/>
          <w:sz w:val="22"/>
          <w:szCs w:val="22"/>
        </w:rPr>
      </w:pPr>
      <w:r>
        <w:rPr>
          <w:rFonts w:cs="Arial" w:ascii="Arial" w:hAnsi="Arial"/>
          <w:b/>
          <w:sz w:val="22"/>
          <w:szCs w:val="22"/>
        </w:rPr>
      </w:r>
    </w:p>
    <w:p>
      <w:pPr>
        <w:pStyle w:val="Standard"/>
        <w:jc w:val="both"/>
        <w:rPr/>
      </w:pPr>
      <w:r>
        <w:rPr>
          <w:rFonts w:cs="Arial" w:ascii="Arial" w:hAnsi="Arial"/>
          <w:sz w:val="22"/>
          <w:szCs w:val="22"/>
        </w:rPr>
        <w:t>L’Incaricato dovrà eseguire</w:t>
      </w:r>
      <w:r>
        <w:rPr>
          <w:rFonts w:cs="Arial" w:ascii="Arial" w:hAnsi="Arial"/>
          <w:sz w:val="22"/>
          <w:szCs w:val="22"/>
          <w:shd w:fill="FFFFFF" w:val="clear"/>
        </w:rPr>
        <w:t xml:space="preserve"> il collaudo statico </w:t>
      </w:r>
      <w:r>
        <w:rPr>
          <w:rFonts w:cs="Arial" w:ascii="Arial" w:hAnsi="Arial"/>
          <w:sz w:val="22"/>
          <w:szCs w:val="22"/>
        </w:rPr>
        <w:t xml:space="preserve">dei lavori relativi agli interventi di minore rilevanza da realizzarsi </w:t>
      </w:r>
      <w:r>
        <w:rPr>
          <w:rFonts w:cs="Arial" w:ascii="Arial" w:hAnsi="Arial"/>
          <w:sz w:val="22"/>
          <w:szCs w:val="22"/>
          <w:shd w:fill="FFFFFF" w:val="clear"/>
        </w:rPr>
        <w:t>nell’ambito dei seguenti progetti:</w:t>
      </w:r>
    </w:p>
    <w:p>
      <w:pPr>
        <w:pStyle w:val="ListParagraph"/>
        <w:widowControl/>
        <w:numPr>
          <w:ilvl w:val="0"/>
          <w:numId w:val="1"/>
        </w:numPr>
        <w:suppressAutoHyphens w:val="true"/>
        <w:bidi w:val="0"/>
        <w:spacing w:before="0" w:after="0"/>
        <w:ind w:left="567" w:right="0" w:hanging="567"/>
        <w:jc w:val="both"/>
        <w:textAlignment w:val="baseline"/>
        <w:rPr/>
      </w:pPr>
      <w:r>
        <w:rPr>
          <w:rFonts w:cs="Arial" w:ascii="Arial" w:hAnsi="Arial"/>
          <w:color w:val="000000"/>
          <w:sz w:val="22"/>
          <w:szCs w:val="22"/>
        </w:rPr>
        <w:t>MESSA IN SICUREZZA DEL PONTE SUL TORRENTE REMOLA' SP21 KM 20+800 BARDI - BORGO VAL DI TARO CUP : D67H21005470001 - CIG: 945922603D;</w:t>
      </w:r>
    </w:p>
    <w:p>
      <w:pPr>
        <w:pStyle w:val="Standard"/>
        <w:widowControl/>
        <w:numPr>
          <w:ilvl w:val="0"/>
          <w:numId w:val="1"/>
        </w:numPr>
        <w:suppressAutoHyphens w:val="true"/>
        <w:bidi w:val="0"/>
        <w:spacing w:before="0" w:after="0"/>
        <w:ind w:left="567" w:right="0" w:hanging="567"/>
        <w:jc w:val="both"/>
        <w:textAlignment w:val="baseline"/>
        <w:rPr/>
      </w:pPr>
      <w:r>
        <w:rPr>
          <w:rFonts w:eastAsia="Times New Roman" w:cs="Arial" w:ascii="Arial" w:hAnsi="Arial"/>
          <w:color w:val="000000"/>
          <w:sz w:val="22"/>
          <w:szCs w:val="22"/>
          <w:lang w:bidi="ar-SA"/>
        </w:rPr>
        <w:t>INTERVENTI DI ADEGUAMENTO E MESSA IN SICUREZZA DELLA S.P. 359R "DI SALSOMAGGIORE E BARDI" – MANUFATTO AL KM 76+050  -  CUP : D37H21003890003;</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ai sensi di quanto disposto dal D.Lgs. n. 50/2016 e s.m.i. e dal NTC 2008 (Norme tecniche per le costruzioni) in vigore all’approvazione del progetto.</w:t>
      </w:r>
    </w:p>
    <w:p>
      <w:pPr>
        <w:pStyle w:val="Standard"/>
        <w:jc w:val="both"/>
        <w:rPr>
          <w:rFonts w:ascii="Arial" w:hAnsi="Arial" w:cs="Arial"/>
          <w:sz w:val="22"/>
          <w:szCs w:val="22"/>
        </w:rPr>
      </w:pPr>
      <w:r>
        <w:rPr>
          <w:rFonts w:cs="Arial" w:ascii="Arial" w:hAnsi="Arial"/>
          <w:sz w:val="22"/>
          <w:szCs w:val="22"/>
        </w:rPr>
      </w:r>
    </w:p>
    <w:p>
      <w:pPr>
        <w:pStyle w:val="Standard"/>
        <w:rPr/>
      </w:pPr>
      <w:r>
        <w:rPr>
          <w:rFonts w:cs="Arial" w:ascii="Arial" w:hAnsi="Arial"/>
          <w:sz w:val="22"/>
          <w:szCs w:val="22"/>
        </w:rPr>
        <w:t xml:space="preserve">Il </w:t>
      </w:r>
      <w:r>
        <w:rPr>
          <w:rFonts w:cs="Arial" w:ascii="Arial" w:hAnsi="Arial"/>
          <w:b/>
          <w:bCs/>
          <w:sz w:val="22"/>
          <w:szCs w:val="22"/>
          <w:u w:val="single"/>
        </w:rPr>
        <w:t>collaudo statico</w:t>
      </w:r>
      <w:r>
        <w:rPr>
          <w:rFonts w:cs="Arial" w:ascii="Arial" w:hAnsi="Arial"/>
          <w:sz w:val="22"/>
          <w:szCs w:val="22"/>
        </w:rPr>
        <w:t xml:space="preserve"> delle opere in oggetto dovrà comprendere i seguenti adempimenti:</w:t>
      </w:r>
    </w:p>
    <w:p>
      <w:pPr>
        <w:pStyle w:val="BodyText2"/>
        <w:rPr>
          <w:rFonts w:ascii="Arial" w:hAnsi="Arial" w:cs="Arial"/>
          <w:sz w:val="22"/>
          <w:szCs w:val="22"/>
        </w:rPr>
      </w:pPr>
      <w:r>
        <w:rPr>
          <w:rFonts w:cs="Arial" w:ascii="Arial" w:hAnsi="Arial"/>
          <w:sz w:val="22"/>
          <w:szCs w:val="22"/>
        </w:rPr>
      </w:r>
    </w:p>
    <w:p>
      <w:pPr>
        <w:pStyle w:val="Standard"/>
        <w:widowControl w:val="false"/>
        <w:numPr>
          <w:ilvl w:val="0"/>
          <w:numId w:val="2"/>
        </w:numPr>
        <w:ind w:left="-57" w:firstLine="397"/>
        <w:jc w:val="both"/>
        <w:rPr>
          <w:rFonts w:ascii="Arial" w:hAnsi="Arial" w:cs="Arial"/>
          <w:sz w:val="22"/>
          <w:szCs w:val="22"/>
        </w:rPr>
      </w:pPr>
      <w:r>
        <w:rPr>
          <w:rFonts w:cs="Arial" w:ascii="Arial" w:hAnsi="Arial"/>
          <w:sz w:val="22"/>
          <w:szCs w:val="22"/>
        </w:rPr>
        <w:t>controllo di quanto prescritto per le opere eseguite sia con materiali regolamentati dal DPR 6.6.2001 n. 380, leggi n. 1086/71 e n. 64/74 sia con materiali diversi e di quanto previsto dalla normativa sismica vigente e dalla CdS</w:t>
      </w:r>
    </w:p>
    <w:p>
      <w:pPr>
        <w:pStyle w:val="Standard"/>
        <w:widowControl w:val="false"/>
        <w:numPr>
          <w:ilvl w:val="0"/>
          <w:numId w:val="2"/>
        </w:numPr>
        <w:ind w:left="-57" w:firstLine="397"/>
        <w:jc w:val="both"/>
        <w:rPr/>
      </w:pPr>
      <w:r>
        <w:rPr>
          <w:rFonts w:cs="Arial" w:ascii="Arial" w:hAnsi="Arial"/>
          <w:sz w:val="22"/>
          <w:szCs w:val="22"/>
        </w:rPr>
        <w:t>ispezione dell’opera nelle varie fasi costruttive degli elementi strutturali e dell’opera nel suo complesso, con particolare riguardo alle parti strutturali più importanti</w:t>
      </w:r>
    </w:p>
    <w:p>
      <w:pPr>
        <w:pStyle w:val="Standard"/>
        <w:widowControl w:val="false"/>
        <w:numPr>
          <w:ilvl w:val="0"/>
          <w:numId w:val="2"/>
        </w:numPr>
        <w:ind w:left="-57" w:firstLine="397"/>
        <w:jc w:val="both"/>
        <w:rPr/>
      </w:pPr>
      <w:r>
        <w:rPr>
          <w:rFonts w:cs="Arial" w:ascii="Arial" w:hAnsi="Arial"/>
          <w:sz w:val="22"/>
          <w:szCs w:val="22"/>
        </w:rPr>
        <w:t>articolato esame dei certificati delle prove sui materiali</w:t>
      </w:r>
    </w:p>
    <w:p>
      <w:pPr>
        <w:pStyle w:val="Standard"/>
        <w:widowControl w:val="false"/>
        <w:numPr>
          <w:ilvl w:val="0"/>
          <w:numId w:val="2"/>
        </w:numPr>
        <w:ind w:left="-57" w:firstLine="397"/>
        <w:jc w:val="both"/>
        <w:rPr/>
      </w:pPr>
      <w:r>
        <w:rPr>
          <w:rFonts w:cs="Arial" w:ascii="Arial" w:hAnsi="Arial"/>
          <w:sz w:val="22"/>
          <w:szCs w:val="22"/>
        </w:rPr>
        <w:t>accertamento del numero dei prelievi effettuati e della loro conformità alle prescrizioni contenute nelle norme tecniche sulle costruzioni</w:t>
      </w:r>
    </w:p>
    <w:p>
      <w:pPr>
        <w:pStyle w:val="Standard"/>
        <w:widowControl w:val="false"/>
        <w:numPr>
          <w:ilvl w:val="0"/>
          <w:numId w:val="2"/>
        </w:numPr>
        <w:ind w:left="-57" w:firstLine="397"/>
        <w:jc w:val="both"/>
        <w:rPr>
          <w:rFonts w:ascii="Arial" w:hAnsi="Arial" w:cs="Arial"/>
          <w:sz w:val="22"/>
          <w:szCs w:val="22"/>
        </w:rPr>
      </w:pPr>
      <w:r>
        <w:rPr>
          <w:rFonts w:cs="Arial" w:ascii="Arial" w:hAnsi="Arial"/>
          <w:sz w:val="22"/>
          <w:szCs w:val="22"/>
        </w:rPr>
        <w:t>controllo che i risultati ottenuti delle prove siano compatibili con i criteri di accettazione fissati dalle norme tecniche sulle costruzioni</w:t>
      </w:r>
    </w:p>
    <w:p>
      <w:pPr>
        <w:pStyle w:val="Standard"/>
        <w:widowControl w:val="false"/>
        <w:numPr>
          <w:ilvl w:val="0"/>
          <w:numId w:val="2"/>
        </w:numPr>
        <w:ind w:left="-57" w:firstLine="397"/>
        <w:jc w:val="both"/>
        <w:rPr>
          <w:rFonts w:ascii="Arial" w:hAnsi="Arial" w:cs="Arial"/>
          <w:sz w:val="22"/>
          <w:szCs w:val="22"/>
        </w:rPr>
      </w:pPr>
      <w:r>
        <w:rPr>
          <w:rFonts w:cs="Arial" w:ascii="Arial" w:hAnsi="Arial"/>
          <w:sz w:val="22"/>
          <w:szCs w:val="22"/>
        </w:rPr>
        <w:t>esame dei certificati di cui ai controlli in stabilimento e nel ciclo produttivo, previsti dalle norme tecniche sulle costruzioni</w:t>
      </w:r>
    </w:p>
    <w:p>
      <w:pPr>
        <w:pStyle w:val="Standard"/>
        <w:widowControl w:val="false"/>
        <w:numPr>
          <w:ilvl w:val="0"/>
          <w:numId w:val="2"/>
        </w:numPr>
        <w:ind w:left="-57" w:firstLine="397"/>
        <w:jc w:val="both"/>
        <w:rPr>
          <w:rFonts w:ascii="Arial" w:hAnsi="Arial" w:cs="Arial"/>
          <w:sz w:val="22"/>
          <w:szCs w:val="22"/>
        </w:rPr>
      </w:pPr>
      <w:r>
        <w:rPr>
          <w:rFonts w:cs="Arial" w:ascii="Arial" w:hAnsi="Arial"/>
          <w:sz w:val="22"/>
          <w:szCs w:val="22"/>
        </w:rPr>
        <w:t>controllo dei verbali e dei risultati delle eventuali prove di carico fatte eseguire dal Direttore dei lavori.</w:t>
      </w:r>
    </w:p>
    <w:p>
      <w:pPr>
        <w:pStyle w:val="Standard"/>
        <w:ind w:left="851" w:hanging="0"/>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Il Collaudatore, nell’ambito delle sue responsabilità, dovrà, inoltre:</w:t>
      </w:r>
    </w:p>
    <w:p>
      <w:pPr>
        <w:pStyle w:val="Standard"/>
        <w:jc w:val="both"/>
        <w:rPr>
          <w:rFonts w:ascii="Arial" w:hAnsi="Arial" w:cs="Arial"/>
          <w:sz w:val="22"/>
          <w:szCs w:val="22"/>
        </w:rPr>
      </w:pPr>
      <w:r>
        <w:rPr>
          <w:rFonts w:cs="Arial" w:ascii="Arial" w:hAnsi="Arial"/>
          <w:sz w:val="22"/>
          <w:szCs w:val="22"/>
        </w:rPr>
      </w:r>
    </w:p>
    <w:p>
      <w:pPr>
        <w:pStyle w:val="Standard"/>
        <w:ind w:left="340" w:hanging="0"/>
        <w:jc w:val="both"/>
        <w:rPr>
          <w:rFonts w:ascii="Arial" w:hAnsi="Arial" w:cs="Arial"/>
          <w:sz w:val="22"/>
          <w:szCs w:val="22"/>
        </w:rPr>
      </w:pPr>
      <w:r>
        <w:rPr>
          <w:rFonts w:cs="Arial" w:ascii="Arial" w:hAnsi="Arial"/>
          <w:sz w:val="22"/>
          <w:szCs w:val="22"/>
        </w:rPr>
        <w:t>a) esaminare il progetto dell’opera, l’impostazione generale, della progettazione nei suoi aspetti strutturale e geotecnico, gli schemi di calcolo e le azioni considerate;</w:t>
      </w:r>
    </w:p>
    <w:p>
      <w:pPr>
        <w:pStyle w:val="Standard"/>
        <w:ind w:left="340" w:hanging="0"/>
        <w:jc w:val="both"/>
        <w:rPr>
          <w:rFonts w:ascii="Arial" w:hAnsi="Arial" w:cs="Arial"/>
          <w:sz w:val="22"/>
          <w:szCs w:val="22"/>
        </w:rPr>
      </w:pPr>
      <w:r>
        <w:rPr>
          <w:rFonts w:cs="Arial" w:ascii="Arial" w:hAnsi="Arial"/>
          <w:sz w:val="22"/>
          <w:szCs w:val="22"/>
        </w:rPr>
        <w:t>b) esaminare le indagini eseguite nelle fasi di progettazione e costruzione come prescritte nelle norme tecniche sulle costruzioni;</w:t>
      </w:r>
    </w:p>
    <w:p>
      <w:pPr>
        <w:pStyle w:val="Standard"/>
        <w:ind w:left="340" w:hanging="0"/>
        <w:jc w:val="both"/>
        <w:rPr>
          <w:rFonts w:ascii="Arial" w:hAnsi="Arial" w:cs="Arial"/>
          <w:sz w:val="22"/>
          <w:szCs w:val="22"/>
        </w:rPr>
      </w:pPr>
      <w:r>
        <w:rPr>
          <w:rFonts w:cs="Arial" w:ascii="Arial" w:hAnsi="Arial"/>
          <w:sz w:val="22"/>
          <w:szCs w:val="22"/>
        </w:rPr>
        <w:t>c) esaminare la relazione a strutture ultimate del Direttore dei lavori.</w:t>
      </w:r>
    </w:p>
    <w:p>
      <w:pPr>
        <w:pStyle w:val="Standard"/>
        <w:ind w:left="851" w:hanging="0"/>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Infine, nell’ambito della propria discrezionalità, il Collaudatore potrà richiedere di effettuare tutti quegli accertamenti, studi, indagini, sperimentazioni e ricerche utili per formarsi il convincimento della sicurezza, della durabilità e della collaudabilità dell’opera, quali in particolare:</w:t>
      </w:r>
    </w:p>
    <w:p>
      <w:pPr>
        <w:pStyle w:val="Standard"/>
        <w:numPr>
          <w:ilvl w:val="0"/>
          <w:numId w:val="3"/>
        </w:numPr>
        <w:spacing w:before="120" w:after="120"/>
        <w:ind w:left="340" w:hanging="0"/>
        <w:jc w:val="both"/>
        <w:rPr>
          <w:rFonts w:ascii="Arial" w:hAnsi="Arial" w:cs="Arial"/>
          <w:sz w:val="22"/>
          <w:szCs w:val="22"/>
        </w:rPr>
      </w:pPr>
      <w:r>
        <w:rPr>
          <w:rFonts w:cs="Arial" w:ascii="Arial" w:hAnsi="Arial"/>
          <w:sz w:val="22"/>
          <w:szCs w:val="22"/>
        </w:rPr>
        <w:t>prove di carico;</w:t>
      </w:r>
    </w:p>
    <w:p>
      <w:pPr>
        <w:pStyle w:val="Standard"/>
        <w:numPr>
          <w:ilvl w:val="0"/>
          <w:numId w:val="11"/>
        </w:numPr>
        <w:spacing w:before="120" w:after="120"/>
        <w:ind w:left="340" w:hanging="0"/>
        <w:jc w:val="both"/>
        <w:rPr>
          <w:rFonts w:ascii="Arial" w:hAnsi="Arial" w:cs="Arial"/>
          <w:sz w:val="22"/>
          <w:szCs w:val="22"/>
        </w:rPr>
      </w:pPr>
      <w:r>
        <w:rPr>
          <w:rFonts w:cs="Arial" w:ascii="Arial" w:hAnsi="Arial"/>
          <w:sz w:val="22"/>
          <w:szCs w:val="22"/>
        </w:rPr>
        <w:t>prove sui materiali messi in opera;</w:t>
      </w:r>
    </w:p>
    <w:p>
      <w:pPr>
        <w:pStyle w:val="Standard"/>
        <w:widowControl w:val="false"/>
        <w:numPr>
          <w:ilvl w:val="0"/>
          <w:numId w:val="11"/>
        </w:numPr>
        <w:spacing w:before="120" w:after="120"/>
        <w:ind w:left="340" w:hanging="0"/>
        <w:jc w:val="both"/>
        <w:rPr>
          <w:rFonts w:ascii="Arial" w:hAnsi="Arial" w:cs="Arial"/>
          <w:sz w:val="22"/>
          <w:szCs w:val="22"/>
        </w:rPr>
      </w:pPr>
      <w:r>
        <w:rPr>
          <w:rFonts w:cs="Arial" w:ascii="Arial" w:hAnsi="Arial"/>
          <w:sz w:val="22"/>
          <w:szCs w:val="22"/>
        </w:rPr>
        <w:t>monitoraggio programmato di grandezze significative del comportamento dell’opera da proseguire, eventualmente, anche dopo il collaudo della stessa.</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Il Professionista Incaricato sarà tenuto a svolgere con </w:t>
      </w:r>
      <w:r>
        <w:rPr>
          <w:rFonts w:cs="Arial" w:ascii="Arial" w:hAnsi="Arial"/>
          <w:color w:val="000000"/>
          <w:sz w:val="22"/>
          <w:szCs w:val="22"/>
        </w:rPr>
        <w:t>competenza e</w:t>
      </w:r>
      <w:r>
        <w:rPr>
          <w:rFonts w:cs="Arial" w:ascii="Arial" w:hAnsi="Arial"/>
          <w:color w:val="FF00FF"/>
          <w:sz w:val="22"/>
          <w:szCs w:val="22"/>
        </w:rPr>
        <w:t xml:space="preserve"> </w:t>
      </w:r>
      <w:r>
        <w:rPr>
          <w:rFonts w:cs="Arial" w:ascii="Arial" w:hAnsi="Arial"/>
          <w:sz w:val="22"/>
          <w:szCs w:val="22"/>
        </w:rPr>
        <w:t xml:space="preserve">diligenza l’incarico e </w:t>
      </w:r>
      <w:r>
        <w:rPr>
          <w:rFonts w:cs="Arial" w:ascii="Arial" w:hAnsi="Arial"/>
          <w:color w:val="000000"/>
          <w:sz w:val="22"/>
          <w:szCs w:val="22"/>
        </w:rPr>
        <w:t>ad</w:t>
      </w:r>
      <w:r>
        <w:rPr>
          <w:rFonts w:cs="Arial" w:ascii="Arial" w:hAnsi="Arial"/>
          <w:sz w:val="22"/>
          <w:szCs w:val="22"/>
        </w:rPr>
        <w:t xml:space="preserve"> eseguire e produrre quanto necessario alla completa definizione dello stesso.</w:t>
      </w:r>
    </w:p>
    <w:p>
      <w:pPr>
        <w:pStyle w:val="Standard"/>
        <w:jc w:val="both"/>
        <w:rPr/>
      </w:pPr>
      <w:r>
        <w:rPr>
          <w:rFonts w:cs="Arial" w:ascii="Arial" w:hAnsi="Arial"/>
          <w:sz w:val="22"/>
          <w:szCs w:val="22"/>
        </w:rPr>
        <w:t>L’incarico verrà svolto in piena autonomia tecnica ed organizzativa, senza alcun vincolo di subordinazione, avvalendosi, ove ritenuto opportuno, del contributo complementare di collaboratori di propria fiducia,</w:t>
      </w:r>
      <w:r>
        <w:rPr>
          <w:rFonts w:cs="Arial" w:ascii="Arial" w:hAnsi="Arial"/>
          <w:color w:val="FF00FF"/>
          <w:sz w:val="22"/>
          <w:szCs w:val="22"/>
        </w:rPr>
        <w:t xml:space="preserve"> </w:t>
      </w:r>
      <w:r>
        <w:rPr>
          <w:rFonts w:cs="Arial" w:ascii="Arial" w:hAnsi="Arial"/>
          <w:sz w:val="22"/>
          <w:szCs w:val="22"/>
        </w:rPr>
        <w:t>senza alcun aggravio di costi per il Committente.</w:t>
      </w:r>
    </w:p>
    <w:p>
      <w:pPr>
        <w:pStyle w:val="Standard"/>
        <w:widowControl w:val="false"/>
        <w:jc w:val="both"/>
        <w:rPr>
          <w:rFonts w:ascii="Arial" w:hAnsi="Arial" w:cs="Arial"/>
          <w:sz w:val="22"/>
          <w:szCs w:val="22"/>
        </w:rPr>
      </w:pPr>
      <w:r>
        <w:rPr>
          <w:rFonts w:cs="Arial" w:ascii="Arial" w:hAnsi="Arial"/>
          <w:sz w:val="22"/>
          <w:szCs w:val="22"/>
        </w:rPr>
        <w:t>Nello svolgimento dell'incarico il professionista avrà cura di prendere tutti i contatti che si rendessero necessari con gli organi, enti ed organismi competenti, curando tutti gli adempimenti indispensabili ed opportuni per garantire l’espletamento delle prestazioni sopraindicate.</w:t>
      </w:r>
    </w:p>
    <w:p>
      <w:pPr>
        <w:pStyle w:val="BodyText2"/>
        <w:rPr>
          <w:rFonts w:ascii="Arial" w:hAnsi="Arial" w:cs="Arial"/>
          <w:sz w:val="22"/>
          <w:szCs w:val="22"/>
        </w:rPr>
      </w:pPr>
      <w:r>
        <w:rPr>
          <w:rFonts w:cs="Arial" w:ascii="Arial" w:hAnsi="Arial"/>
          <w:sz w:val="22"/>
          <w:szCs w:val="22"/>
        </w:rPr>
      </w:r>
    </w:p>
    <w:p>
      <w:pPr>
        <w:pStyle w:val="BodyText2"/>
        <w:rPr>
          <w:rFonts w:ascii="Arial" w:hAnsi="Arial" w:cs="Arial"/>
          <w:sz w:val="22"/>
          <w:szCs w:val="22"/>
        </w:rPr>
      </w:pPr>
      <w:r>
        <w:rPr>
          <w:rFonts w:cs="Arial" w:ascii="Arial" w:hAnsi="Arial"/>
          <w:sz w:val="22"/>
          <w:szCs w:val="22"/>
        </w:rPr>
        <w:t>Gli incarichi predetti comprendono la predisposizione e la presentazione, all'Amministrazione committente, degli elaborati previsti dal Titolo X Capo II del D.P.R. 207/2011 e ss.mm.ii. che si richiamano integralmente.</w:t>
      </w:r>
    </w:p>
    <w:p>
      <w:pPr>
        <w:pStyle w:val="BodyText2"/>
        <w:rPr>
          <w:rFonts w:ascii="Arial" w:hAnsi="Arial" w:cs="Arial"/>
          <w:sz w:val="22"/>
          <w:szCs w:val="22"/>
        </w:rPr>
      </w:pPr>
      <w:r>
        <w:rPr>
          <w:rFonts w:cs="Arial" w:ascii="Arial" w:hAnsi="Arial"/>
          <w:sz w:val="22"/>
          <w:szCs w:val="22"/>
        </w:rPr>
      </w:r>
    </w:p>
    <w:p>
      <w:pPr>
        <w:pStyle w:val="BodyText2"/>
        <w:rPr/>
      </w:pPr>
      <w:r>
        <w:rPr>
          <w:rFonts w:cs="Arial" w:ascii="Arial" w:hAnsi="Arial"/>
          <w:sz w:val="22"/>
          <w:szCs w:val="22"/>
        </w:rPr>
        <w:t>L’incarico in oggetto dovrà comprendere inoltre tutte le verifiche tecniche previste dalle leggi di settore e dovrà essere svolto in stretto rapporto di collaborazione con il Responsabile del Procedimento e con gli ulteriori professionisti incaricati della progettazione delle opere, della DL e dell’impresa.</w:t>
      </w:r>
    </w:p>
    <w:p>
      <w:pPr>
        <w:pStyle w:val="BodyText2"/>
        <w:rPr>
          <w:rFonts w:ascii="Arial" w:hAnsi="Arial" w:cs="Arial"/>
          <w:sz w:val="22"/>
          <w:szCs w:val="22"/>
        </w:rPr>
      </w:pPr>
      <w:r>
        <w:rPr>
          <w:rFonts w:cs="Arial" w:ascii="Arial" w:hAnsi="Arial"/>
          <w:sz w:val="22"/>
          <w:szCs w:val="22"/>
        </w:rPr>
      </w:r>
    </w:p>
    <w:p>
      <w:pPr>
        <w:pStyle w:val="BodyText2"/>
        <w:rPr>
          <w:rFonts w:ascii="Arial" w:hAnsi="Arial" w:cs="Arial"/>
          <w:sz w:val="22"/>
          <w:szCs w:val="22"/>
        </w:rPr>
      </w:pPr>
      <w:r>
        <w:rPr>
          <w:rFonts w:cs="Arial" w:ascii="Arial" w:hAnsi="Arial"/>
          <w:sz w:val="22"/>
          <w:szCs w:val="22"/>
        </w:rPr>
        <w:t>Il professionista responsabile ed i suoi collaboratori, su richiesta del Committente, dovranno presenziare ad incontri, riunioni, conferenze dei servizi attinenti al progetto e produrre gli elaborati esplicativi richiesti.</w:t>
      </w:r>
    </w:p>
    <w:p>
      <w:pPr>
        <w:pStyle w:val="Standard"/>
        <w:jc w:val="both"/>
        <w:rPr>
          <w:rFonts w:ascii="Arial" w:hAnsi="Arial" w:cs="Arial"/>
          <w:sz w:val="22"/>
          <w:szCs w:val="22"/>
        </w:rPr>
      </w:pPr>
      <w:r>
        <w:rPr>
          <w:rFonts w:cs="Arial" w:ascii="Arial" w:hAnsi="Arial"/>
          <w:sz w:val="22"/>
          <w:szCs w:val="22"/>
        </w:rPr>
      </w:r>
    </w:p>
    <w:p>
      <w:pPr>
        <w:pStyle w:val="Standard"/>
        <w:rPr/>
      </w:pPr>
      <w:r>
        <w:rPr>
          <w:rFonts w:cs="Arial" w:ascii="Arial" w:hAnsi="Arial"/>
          <w:b/>
          <w:sz w:val="22"/>
          <w:szCs w:val="22"/>
          <w:shd w:fill="auto" w:val="clear"/>
        </w:rPr>
        <w:t xml:space="preserve">2) </w:t>
        <w:tab/>
        <w:t>Prezzo della prestazione - importo complessivo</w:t>
      </w:r>
    </w:p>
    <w:p>
      <w:pPr>
        <w:pStyle w:val="Standard"/>
        <w:jc w:val="both"/>
        <w:rPr/>
      </w:pPr>
      <w:r>
        <w:rPr>
          <w:rFonts w:cs="Arial" w:ascii="Arial" w:hAnsi="Arial"/>
          <w:sz w:val="22"/>
          <w:szCs w:val="22"/>
          <w:shd w:fill="auto" w:val="clear"/>
        </w:rPr>
        <w:t>A fronte delle prestazioni di cui al precedente articolo 1 alla Società verrà corrisposto:</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shd w:fill="auto" w:val="clear"/>
        </w:rPr>
        <w:t xml:space="preserve">A) </w:t>
      </w:r>
      <w:r>
        <w:rPr>
          <w:rFonts w:cs="Arial" w:ascii="Arial" w:hAnsi="Arial"/>
          <w:color w:val="000000"/>
          <w:sz w:val="22"/>
          <w:szCs w:val="22"/>
          <w:shd w:fill="auto" w:val="clear"/>
        </w:rPr>
        <w:t>Prestazione relative all’Incarico</w:t>
        <w:tab/>
        <w:tab/>
      </w:r>
      <w:r>
        <w:rPr>
          <w:rFonts w:cs="Arial" w:ascii="Arial" w:hAnsi="Arial"/>
          <w:sz w:val="22"/>
          <w:szCs w:val="22"/>
          <w:shd w:fill="auto" w:val="clear"/>
        </w:rPr>
        <w:tab/>
        <w:tab/>
        <w:t xml:space="preserve">€        </w:t>
      </w:r>
      <w:r>
        <w:rPr>
          <w:rFonts w:eastAsia="Arial" w:cs="Arial" w:ascii="Arial" w:hAnsi="Arial"/>
          <w:color w:val="000000"/>
          <w:sz w:val="22"/>
          <w:szCs w:val="22"/>
          <w:shd w:fill="auto" w:val="clear"/>
        </w:rPr>
        <w:t>7.200,00</w:t>
      </w:r>
    </w:p>
    <w:p>
      <w:pPr>
        <w:pStyle w:val="Standard"/>
        <w:jc w:val="both"/>
        <w:rPr/>
      </w:pPr>
      <w:r>
        <w:rPr>
          <w:rFonts w:cs="Arial" w:ascii="Arial" w:hAnsi="Arial"/>
          <w:color w:val="000000"/>
          <w:sz w:val="22"/>
          <w:szCs w:val="22"/>
          <w:shd w:fill="auto" w:val="clear"/>
        </w:rPr>
        <w:t>B) INARCASSA 4%</w:t>
        <w:tab/>
        <w:tab/>
        <w:tab/>
        <w:tab/>
        <w:tab/>
        <w:tab/>
        <w:t>€</w:t>
        <w:tab/>
        <w:t xml:space="preserve"> </w:t>
      </w:r>
      <w:r>
        <w:rPr>
          <w:rFonts w:eastAsia="Arial" w:cs="Arial" w:ascii="Arial" w:hAnsi="Arial"/>
          <w:color w:val="000000"/>
          <w:sz w:val="22"/>
          <w:szCs w:val="22"/>
          <w:shd w:fill="auto" w:val="clear"/>
        </w:rPr>
        <w:t>288,00</w:t>
      </w:r>
    </w:p>
    <w:p>
      <w:pPr>
        <w:pStyle w:val="Standard"/>
        <w:jc w:val="both"/>
        <w:rPr/>
      </w:pPr>
      <w:r>
        <w:rPr>
          <w:rFonts w:cs="Arial" w:ascii="Arial" w:hAnsi="Arial"/>
          <w:sz w:val="22"/>
          <w:szCs w:val="22"/>
          <w:shd w:fill="auto" w:val="clear"/>
        </w:rPr>
        <w:t>C) IVA al 22% (sulla somma di A) e B))  pari a</w:t>
        <w:tab/>
        <w:tab/>
      </w:r>
      <w:r>
        <w:rPr>
          <w:rFonts w:cs="Arial" w:ascii="Arial" w:hAnsi="Arial"/>
          <w:sz w:val="22"/>
          <w:szCs w:val="22"/>
          <w:u w:val="single"/>
          <w:shd w:fill="auto" w:val="clear"/>
        </w:rPr>
        <w:t xml:space="preserve">€        </w:t>
      </w:r>
      <w:r>
        <w:rPr>
          <w:rFonts w:eastAsia="Arial" w:cs="Arial" w:ascii="Arial" w:hAnsi="Arial"/>
          <w:color w:val="000000"/>
          <w:sz w:val="22"/>
          <w:szCs w:val="22"/>
          <w:u w:val="single"/>
          <w:shd w:fill="auto" w:val="clear"/>
        </w:rPr>
        <w:t>1.647,36</w:t>
      </w:r>
    </w:p>
    <w:p>
      <w:pPr>
        <w:pStyle w:val="Standard"/>
        <w:jc w:val="both"/>
        <w:rPr/>
      </w:pPr>
      <w:r>
        <w:rPr>
          <w:rFonts w:cs="Arial" w:ascii="Arial" w:hAnsi="Arial"/>
          <w:b/>
          <w:sz w:val="22"/>
          <w:szCs w:val="22"/>
          <w:shd w:fill="auto" w:val="clear"/>
        </w:rPr>
        <w:t xml:space="preserve">Totale pari a </w:t>
        <w:tab/>
        <w:tab/>
        <w:tab/>
        <w:tab/>
        <w:tab/>
        <w:tab/>
        <w:tab/>
        <w:t xml:space="preserve">€        </w:t>
      </w:r>
      <w:r>
        <w:rPr>
          <w:rFonts w:eastAsia="Arial" w:cs="Arial" w:ascii="Arial" w:hAnsi="Arial"/>
          <w:b/>
          <w:color w:val="000000"/>
          <w:sz w:val="22"/>
          <w:szCs w:val="22"/>
          <w:shd w:fill="auto" w:val="clear"/>
        </w:rPr>
        <w:t>9.135,36</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sz w:val="22"/>
          <w:szCs w:val="22"/>
          <w:highlight w:val="white"/>
        </w:rPr>
      </w:pPr>
      <w:r>
        <w:rPr>
          <w:rFonts w:cs="Arial" w:ascii="Arial" w:hAnsi="Arial"/>
          <w:sz w:val="22"/>
          <w:szCs w:val="22"/>
          <w:shd w:fill="FFFFFF" w:val="clear"/>
        </w:rPr>
        <w:t>Il corrispettivo così stabilito si intende “fisso” e non potrà pertanto subire nessuna variazione in aumento.</w:t>
      </w:r>
    </w:p>
    <w:p>
      <w:pPr>
        <w:pStyle w:val="Standard"/>
        <w:jc w:val="both"/>
        <w:rPr>
          <w:rFonts w:ascii="Arial" w:hAnsi="Arial" w:cs="Arial"/>
          <w:sz w:val="22"/>
          <w:szCs w:val="22"/>
          <w:highlight w:val="white"/>
        </w:rPr>
      </w:pPr>
      <w:r>
        <w:rPr>
          <w:rFonts w:cs="Arial" w:ascii="Arial" w:hAnsi="Arial"/>
          <w:sz w:val="22"/>
          <w:szCs w:val="22"/>
          <w:highlight w:val="white"/>
        </w:rPr>
      </w:r>
    </w:p>
    <w:p>
      <w:pPr>
        <w:pStyle w:val="Standard"/>
        <w:numPr>
          <w:ilvl w:val="0"/>
          <w:numId w:val="4"/>
        </w:numPr>
        <w:tabs>
          <w:tab w:val="clear" w:pos="720"/>
          <w:tab w:val="left" w:pos="0" w:leader="none"/>
        </w:tabs>
        <w:ind w:left="0" w:hanging="0"/>
        <w:jc w:val="both"/>
        <w:rPr>
          <w:rFonts w:ascii="Arial" w:hAnsi="Arial" w:cs="Arial"/>
          <w:b/>
          <w:b/>
          <w:sz w:val="22"/>
          <w:szCs w:val="22"/>
          <w:highlight w:val="white"/>
        </w:rPr>
      </w:pPr>
      <w:r>
        <w:rPr>
          <w:rFonts w:cs="Arial" w:ascii="Arial" w:hAnsi="Arial"/>
          <w:b/>
          <w:sz w:val="22"/>
          <w:szCs w:val="22"/>
          <w:shd w:fill="FFFFFF" w:val="clear"/>
        </w:rPr>
        <w:t>Pagamenti</w:t>
      </w:r>
    </w:p>
    <w:p>
      <w:pPr>
        <w:pStyle w:val="Standard"/>
        <w:jc w:val="both"/>
        <w:rPr>
          <w:rFonts w:ascii="Arial" w:hAnsi="Arial" w:cs="Arial"/>
          <w:sz w:val="22"/>
          <w:szCs w:val="22"/>
        </w:rPr>
      </w:pPr>
      <w:r>
        <w:rPr>
          <w:rFonts w:cs="Arial" w:ascii="Arial" w:hAnsi="Arial"/>
          <w:sz w:val="22"/>
          <w:szCs w:val="22"/>
        </w:rPr>
        <w:t>Il pagamento del corrispettivo avverrà in unica soluzione al termine delle operazioni di cui al punto 1) e sarà effettuato su apposito conto dedicato, per il quale l’Incaricato al successivo punto 8) “Tracciabilità dei flussi finanziari” specificherà gli estremi necessari per l’accredito (n. conto corrente, banca o ufficio postale d’appoggio, codice IBAN).</w:t>
      </w:r>
    </w:p>
    <w:p>
      <w:pPr>
        <w:pStyle w:val="Standard"/>
        <w:jc w:val="both"/>
        <w:rPr>
          <w:rFonts w:ascii="Arial" w:hAnsi="Arial" w:eastAsia="Arial" w:cs="Arial"/>
          <w:sz w:val="22"/>
          <w:szCs w:val="22"/>
        </w:rPr>
      </w:pPr>
      <w:r>
        <w:rPr>
          <w:rFonts w:eastAsia="Arial" w:cs="Arial" w:ascii="Arial" w:hAnsi="Arial"/>
          <w:sz w:val="22"/>
          <w:szCs w:val="22"/>
        </w:rPr>
        <w:t xml:space="preserve"> </w:t>
      </w:r>
    </w:p>
    <w:p>
      <w:pPr>
        <w:pStyle w:val="Standard"/>
        <w:numPr>
          <w:ilvl w:val="0"/>
          <w:numId w:val="12"/>
        </w:numPr>
        <w:tabs>
          <w:tab w:val="clear" w:pos="720"/>
          <w:tab w:val="left" w:pos="0" w:leader="none"/>
        </w:tabs>
        <w:ind w:left="0" w:hanging="0"/>
        <w:jc w:val="both"/>
        <w:rPr>
          <w:rFonts w:ascii="Arial" w:hAnsi="Arial" w:cs="Arial"/>
          <w:b/>
          <w:b/>
          <w:sz w:val="22"/>
          <w:szCs w:val="22"/>
        </w:rPr>
      </w:pPr>
      <w:r>
        <w:rPr>
          <w:rFonts w:cs="Arial" w:ascii="Arial" w:hAnsi="Arial"/>
          <w:b/>
          <w:sz w:val="22"/>
          <w:szCs w:val="22"/>
        </w:rPr>
        <w:t>Termini di esecuzione della prestazione</w:t>
      </w:r>
    </w:p>
    <w:p>
      <w:pPr>
        <w:pStyle w:val="Standard"/>
        <w:jc w:val="both"/>
        <w:rPr/>
      </w:pPr>
      <w:r>
        <w:rPr>
          <w:rFonts w:cs="Arial" w:ascii="Arial" w:hAnsi="Arial"/>
          <w:sz w:val="22"/>
          <w:szCs w:val="22"/>
        </w:rPr>
        <w:t>La prestazione in oggetto verrà svolta con il supporto e coordinamento dell’Ufficio Progettazione e Direzione Lavori, Ponti e Manufatti Stradali, e dovrà avere termine entro 30 giorni dalla fine di ogni progetto (comprendente più interventi di minore rilevanza).</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b/>
          <w:b/>
          <w:sz w:val="22"/>
          <w:szCs w:val="22"/>
        </w:rPr>
      </w:pPr>
      <w:r>
        <w:rPr>
          <w:rFonts w:cs="Arial" w:ascii="Arial" w:hAnsi="Arial"/>
          <w:b/>
          <w:sz w:val="22"/>
          <w:szCs w:val="22"/>
        </w:rPr>
        <w:t xml:space="preserve">5) </w:t>
        <w:tab/>
        <w:t>Condizioni</w:t>
      </w:r>
    </w:p>
    <w:p>
      <w:pPr>
        <w:pStyle w:val="Standard"/>
        <w:jc w:val="both"/>
        <w:rPr>
          <w:rFonts w:ascii="Arial" w:hAnsi="Arial" w:cs="Arial"/>
          <w:sz w:val="22"/>
          <w:szCs w:val="22"/>
        </w:rPr>
      </w:pPr>
      <w:r>
        <w:rPr>
          <w:rFonts w:cs="Arial" w:ascii="Arial" w:hAnsi="Arial"/>
          <w:sz w:val="22"/>
          <w:szCs w:val="22"/>
        </w:rPr>
        <w:t>L’Incaricato si impegna ad eseguire e a portare a termine i servizi affidatigli con diligenza, professionalità e a regola d’arte, adottando le misure e i dispositivi di sicurezza per la salvaguardia dell’incolumità e della salute dei lavoratori secondo le prescrizioni di legge.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6) </w:t>
        <w:tab/>
        <w:t>Subappalto</w:t>
      </w:r>
    </w:p>
    <w:p>
      <w:pPr>
        <w:pStyle w:val="Standard"/>
        <w:jc w:val="both"/>
        <w:rPr/>
      </w:pPr>
      <w:r>
        <w:rPr>
          <w:rFonts w:cs="Arial" w:ascii="Arial" w:hAnsi="Arial"/>
          <w:sz w:val="22"/>
          <w:szCs w:val="22"/>
        </w:rPr>
        <w:t xml:space="preserve">L’Incaricato non potrà avvalersi del subappalto, fatta eccezione per quanto esposto all’art. </w:t>
      </w:r>
      <w:r>
        <w:rPr>
          <w:rFonts w:cs="Arial" w:ascii="Arial" w:hAnsi="Arial"/>
          <w:sz w:val="22"/>
          <w:szCs w:val="22"/>
          <w:shd w:fill="FFFFFF" w:val="clear"/>
        </w:rPr>
        <w:t xml:space="preserve">105 del D.Lgs. 50/2016, previa comunicazione all’Amministrazione Provinciale e alla </w:t>
      </w:r>
      <w:r>
        <w:rPr>
          <w:rFonts w:cs="ArialMT, Arial" w:ascii="ArialMT, Arial" w:hAnsi="ArialMT, Arial"/>
          <w:sz w:val="22"/>
          <w:szCs w:val="22"/>
          <w:shd w:fill="FFFFFF" w:val="clear"/>
        </w:rPr>
        <w:t xml:space="preserve">Ministero dei Beni e delle Attività Culturali e del Turismo – Soprintendenza Archeologia Belle Arti e Paesaggio </w:t>
      </w:r>
      <w:r>
        <w:rPr>
          <w:rFonts w:cs="ArialMT, Arial" w:ascii="ArialMT, Arial" w:hAnsi="ArialMT, Arial"/>
          <w:sz w:val="22"/>
          <w:szCs w:val="22"/>
        </w:rPr>
        <w:t>per le Provincie di Parma e Piacenza</w:t>
      </w:r>
      <w:r>
        <w:rPr>
          <w:rFonts w:cs="Arial" w:ascii="Arial" w:hAnsi="Arial"/>
          <w:sz w:val="22"/>
          <w:szCs w:val="22"/>
        </w:rPr>
        <w:t>.</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7) </w:t>
        <w:tab/>
        <w:t>Oneri previdenziali</w:t>
      </w:r>
    </w:p>
    <w:p>
      <w:pPr>
        <w:pStyle w:val="Standard"/>
        <w:jc w:val="both"/>
        <w:rPr>
          <w:rFonts w:ascii="Arial" w:hAnsi="Arial" w:cs="Arial"/>
          <w:sz w:val="22"/>
          <w:szCs w:val="22"/>
        </w:rPr>
      </w:pPr>
      <w:r>
        <w:rPr>
          <w:rFonts w:cs="Arial" w:ascii="Arial" w:hAnsi="Arial"/>
          <w:sz w:val="22"/>
          <w:szCs w:val="22"/>
        </w:rPr>
        <w:t>L’Incaricato si obbliga ad assumere a proprio carico tutti gli oneri previdenziali di legge e ad osservare le vigenti norme in materia di sicurezza sul lavoro, con particolare riferimento a quanto previsto dal D.Lgs. n. 81/2008.</w:t>
      </w:r>
    </w:p>
    <w:p>
      <w:pPr>
        <w:pStyle w:val="Standard"/>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8) </w:t>
        <w:tab/>
        <w:t>Tracciabilità dei flussi finanziari</w:t>
      </w:r>
    </w:p>
    <w:p>
      <w:pPr>
        <w:pStyle w:val="Standard"/>
        <w:jc w:val="both"/>
        <w:rPr>
          <w:rFonts w:ascii="Arial" w:hAnsi="Arial" w:cs="Arial"/>
          <w:sz w:val="22"/>
          <w:szCs w:val="22"/>
        </w:rPr>
      </w:pPr>
      <w:r>
        <w:rPr>
          <w:rFonts w:cs="Arial" w:ascii="Arial" w:hAnsi="Arial"/>
          <w:sz w:val="22"/>
          <w:szCs w:val="22"/>
        </w:rPr>
        <w:t>L’Incaricato assume tutti gli obblighi di tracciabilità dei flussi finanziari di cui alla legge n. 13/08/2010 n. 136 e s.m. e i. e, in particolare:</w:t>
      </w:r>
    </w:p>
    <w:p>
      <w:pPr>
        <w:pStyle w:val="Standard"/>
        <w:jc w:val="both"/>
        <w:rPr>
          <w:rFonts w:ascii="Arial" w:hAnsi="Arial" w:cs="Arial"/>
          <w:sz w:val="22"/>
          <w:szCs w:val="22"/>
        </w:rPr>
      </w:pPr>
      <w:r>
        <w:rPr>
          <w:rFonts w:cs="Arial" w:ascii="Arial" w:hAnsi="Arial"/>
          <w:sz w:val="22"/>
          <w:szCs w:val="22"/>
        </w:rPr>
        <w:t>- si obbliga ad utilizzare uno o più c.c. bancari o postali dedicati, anche in via non esclusiva, alle commesse pubbliche e comunica allo scrivente Ufficio gli estremi identificativi del c.c., le generalità e il c.f. delle persone delegate ad operare su di esso, nonché ogni modifica relativa ai dati trasmessi;</w:t>
      </w:r>
    </w:p>
    <w:p>
      <w:pPr>
        <w:pStyle w:val="Standard"/>
        <w:jc w:val="both"/>
        <w:rPr>
          <w:rFonts w:ascii="Arial" w:hAnsi="Arial" w:cs="Arial"/>
          <w:sz w:val="22"/>
          <w:szCs w:val="22"/>
        </w:rPr>
      </w:pPr>
      <w:r>
        <w:rPr>
          <w:rFonts w:cs="Arial" w:ascii="Arial" w:hAnsi="Arial"/>
          <w:sz w:val="22"/>
          <w:szCs w:val="22"/>
        </w:rPr>
        <w:t>- si obbliga ad inserire negli eventuali contratti sottoscritti con subappaltatori, qualora autorizzati, e subcontraenti, stipulati per l’esecuzione, anche non esclusiva, del presente contratto, un’apposita clausola con la quale ciascuno di essi assume gli obblighi di tracciabilità dei flussi finanziari e, qualora abbia notizia dell’inadempimento della propria controparte agli obblighi di tracciabilità finanziaria ne dà immediata comunicazione allo scrivente Ufficio.</w:t>
      </w:r>
    </w:p>
    <w:p>
      <w:pPr>
        <w:pStyle w:val="Standard"/>
        <w:jc w:val="both"/>
        <w:rPr>
          <w:rFonts w:ascii="Arial" w:hAnsi="Arial" w:cs="Arial"/>
          <w:sz w:val="22"/>
          <w:szCs w:val="22"/>
        </w:rPr>
      </w:pPr>
      <w:r>
        <w:rPr>
          <w:rFonts w:cs="Arial" w:ascii="Arial" w:hAnsi="Arial"/>
          <w:sz w:val="22"/>
          <w:szCs w:val="22"/>
        </w:rPr>
        <w:t>Il mancato utilizzo degli strumenti idonei a consentire la piena tracciabilità delle operazioni determina la risoluzione del contratto.</w:t>
      </w:r>
    </w:p>
    <w:p>
      <w:pPr>
        <w:pStyle w:val="Standard"/>
        <w:jc w:val="both"/>
        <w:rPr/>
      </w:pPr>
      <w:r>
        <w:rPr>
          <w:rFonts w:cs="Arial" w:ascii="Arial" w:hAnsi="Arial"/>
          <w:sz w:val="22"/>
          <w:szCs w:val="22"/>
        </w:rPr>
        <w:t>L’Incaricato, ai sensi dell’art. 3 del L. 136/2010, dichiara pertanto:</w:t>
      </w:r>
    </w:p>
    <w:p>
      <w:pPr>
        <w:pStyle w:val="Standard"/>
        <w:jc w:val="both"/>
        <w:rPr>
          <w:rFonts w:ascii="Arial" w:hAnsi="Arial" w:cs="Arial"/>
          <w:sz w:val="22"/>
          <w:szCs w:val="22"/>
        </w:rPr>
      </w:pPr>
      <w:r>
        <w:rPr>
          <w:rFonts w:cs="Arial" w:ascii="Arial" w:hAnsi="Arial"/>
          <w:sz w:val="22"/>
          <w:szCs w:val="22"/>
        </w:rPr>
      </w:r>
    </w:p>
    <w:p>
      <w:pPr>
        <w:pStyle w:val="Standard"/>
        <w:numPr>
          <w:ilvl w:val="0"/>
          <w:numId w:val="5"/>
        </w:numPr>
        <w:tabs>
          <w:tab w:val="clear" w:pos="720"/>
          <w:tab w:val="left" w:pos="273" w:leader="none"/>
        </w:tabs>
        <w:jc w:val="both"/>
        <w:rPr>
          <w:rFonts w:ascii="Arial" w:hAnsi="Arial" w:cs="Arial"/>
          <w:sz w:val="22"/>
          <w:szCs w:val="22"/>
        </w:rPr>
      </w:pPr>
      <w:r>
        <w:rPr>
          <w:rFonts w:cs="Arial" w:ascii="Arial" w:hAnsi="Arial"/>
          <w:sz w:val="22"/>
          <w:szCs w:val="22"/>
        </w:rPr>
        <w:t>che i dati relativi agli Istituti Bancari presso i quali sono stati accesi i conti correnti dedicati non in via esclusiva sono i seguenti:</w:t>
      </w:r>
    </w:p>
    <w:p>
      <w:pPr>
        <w:pStyle w:val="Standard"/>
        <w:tabs>
          <w:tab w:val="clear" w:pos="720"/>
          <w:tab w:val="left" w:pos="993" w:leader="none"/>
        </w:tabs>
        <w:jc w:val="both"/>
        <w:rPr>
          <w:rFonts w:ascii="Arial" w:hAnsi="Arial" w:cs="Arial"/>
          <w:sz w:val="22"/>
          <w:szCs w:val="22"/>
          <w:highlight w:val="yellow"/>
        </w:rPr>
      </w:pPr>
      <w:r>
        <w:rPr>
          <w:rFonts w:cs="Arial" w:ascii="Arial" w:hAnsi="Arial"/>
          <w:sz w:val="22"/>
          <w:szCs w:val="22"/>
          <w:highlight w:val="yellow"/>
        </w:rPr>
      </w:r>
    </w:p>
    <w:p>
      <w:pPr>
        <w:pStyle w:val="Standard"/>
        <w:ind w:firstLine="708"/>
        <w:rPr>
          <w:rFonts w:ascii="Arial" w:hAnsi="Arial" w:cs="Arial"/>
          <w:sz w:val="22"/>
          <w:szCs w:val="22"/>
          <w:highlight w:val="white"/>
        </w:rPr>
      </w:pPr>
      <w:r>
        <w:rPr>
          <w:rFonts w:cs="Arial" w:ascii="Arial" w:hAnsi="Arial"/>
          <w:sz w:val="22"/>
          <w:szCs w:val="22"/>
          <w:shd w:fill="FFFFFF" w:val="clear"/>
        </w:rPr>
        <w:t>BANCA:  CREDITE AGRICOLE AGENZIA 12 VIA SPEZIA PARMA</w:t>
      </w:r>
    </w:p>
    <w:p>
      <w:pPr>
        <w:pStyle w:val="ListParagraph"/>
        <w:tabs>
          <w:tab w:val="clear" w:pos="720"/>
          <w:tab w:val="left" w:pos="993" w:leader="none"/>
        </w:tabs>
        <w:spacing w:lineRule="atLeast" w:line="240"/>
        <w:ind w:left="0" w:hanging="0"/>
        <w:jc w:val="both"/>
        <w:rPr>
          <w:rFonts w:ascii="Arial" w:hAnsi="Arial" w:cs="Arial"/>
          <w:sz w:val="22"/>
          <w:szCs w:val="22"/>
          <w:highlight w:val="white"/>
        </w:rPr>
      </w:pPr>
      <w:r>
        <w:rPr>
          <w:rFonts w:cs="Arial" w:ascii="Arial" w:hAnsi="Arial"/>
          <w:sz w:val="22"/>
          <w:szCs w:val="22"/>
          <w:highlight w:val="white"/>
        </w:rPr>
      </w:r>
    </w:p>
    <w:p>
      <w:pPr>
        <w:pStyle w:val="Sche3"/>
        <w:numPr>
          <w:ilvl w:val="0"/>
          <w:numId w:val="13"/>
        </w:numPr>
        <w:tabs>
          <w:tab w:val="clear" w:pos="720"/>
          <w:tab w:val="left" w:pos="273" w:leader="none"/>
        </w:tabs>
        <w:rPr>
          <w:rFonts w:ascii="Arial" w:hAnsi="Arial" w:cs="Arial"/>
          <w:sz w:val="22"/>
          <w:szCs w:val="22"/>
          <w:highlight w:val="white"/>
          <w:lang w:val="it-IT"/>
        </w:rPr>
      </w:pPr>
      <w:r>
        <w:rPr>
          <w:rFonts w:cs="Arial" w:ascii="Arial" w:hAnsi="Arial"/>
          <w:sz w:val="22"/>
          <w:szCs w:val="22"/>
          <w:shd w:fill="FFFFFF" w:val="clear"/>
          <w:lang w:val="it-IT"/>
        </w:rPr>
        <w:t>che i pagamenti relativi a tutti gli affidamenti devono essere effettuati sul seguente conto corrente bancario o postale, intestato alla ditta sopra indicata, dedicato alle commesse pubbliche, non in via esclusiva, ai sensi del comma 1 dell’art. 3 della Legge 136/2010 e s.m. e integrazioni:</w:t>
      </w:r>
    </w:p>
    <w:p>
      <w:pPr>
        <w:pStyle w:val="Standard"/>
        <w:rPr>
          <w:rFonts w:ascii="Arial" w:hAnsi="Arial" w:eastAsia="Arial" w:cs="Arial"/>
          <w:sz w:val="22"/>
          <w:szCs w:val="22"/>
          <w:highlight w:val="white"/>
          <w:lang w:eastAsia="ar-SA"/>
        </w:rPr>
      </w:pPr>
      <w:r>
        <w:rPr>
          <w:rFonts w:eastAsia="Arial" w:cs="Arial" w:ascii="Arial" w:hAnsi="Arial"/>
          <w:sz w:val="22"/>
          <w:szCs w:val="22"/>
          <w:highlight w:val="white"/>
          <w:lang w:eastAsia="ar-SA"/>
        </w:rPr>
      </w:r>
    </w:p>
    <w:p>
      <w:pPr>
        <w:pStyle w:val="Standard"/>
        <w:ind w:firstLine="708"/>
        <w:rPr>
          <w:rFonts w:ascii="Arial" w:hAnsi="Arial" w:cs="Arial"/>
          <w:sz w:val="22"/>
          <w:szCs w:val="22"/>
          <w:highlight w:val="white"/>
        </w:rPr>
      </w:pPr>
      <w:r>
        <w:rPr>
          <w:rFonts w:cs="Arial" w:ascii="Arial" w:hAnsi="Arial"/>
          <w:sz w:val="22"/>
          <w:szCs w:val="22"/>
          <w:shd w:fill="FFFFFF" w:val="clear"/>
        </w:rPr>
        <w:t>BANCA:  Credite Agricole Cariparma c/c n. 567637/27;</w:t>
      </w:r>
      <w:r>
        <w:rPr/>
        <w:t xml:space="preserve"> </w:t>
      </w:r>
      <w:r>
        <w:rPr>
          <w:rFonts w:cs="Arial" w:ascii="Arial" w:hAnsi="Arial"/>
          <w:sz w:val="22"/>
          <w:szCs w:val="22"/>
          <w:shd w:fill="FFFFFF" w:val="clear"/>
        </w:rPr>
        <w:t xml:space="preserve">Agenzia n. 12 di Parma - ABI 6230    </w:t>
      </w:r>
    </w:p>
    <w:p>
      <w:pPr>
        <w:pStyle w:val="Standard"/>
        <w:rPr>
          <w:rFonts w:ascii="Arial" w:hAnsi="Arial" w:cs="Arial"/>
          <w:sz w:val="22"/>
          <w:szCs w:val="22"/>
          <w:highlight w:val="white"/>
        </w:rPr>
      </w:pPr>
      <w:r>
        <w:rPr>
          <w:rFonts w:cs="Arial" w:ascii="Arial" w:hAnsi="Arial"/>
          <w:sz w:val="22"/>
          <w:szCs w:val="22"/>
          <w:shd w:fill="FFFFFF" w:val="clear"/>
        </w:rPr>
        <w:t xml:space="preserve">           </w:t>
      </w:r>
      <w:r>
        <w:rPr>
          <w:rFonts w:cs="Arial" w:ascii="Arial" w:hAnsi="Arial"/>
          <w:sz w:val="22"/>
          <w:szCs w:val="22"/>
          <w:shd w:fill="FFFFFF" w:val="clear"/>
        </w:rPr>
        <w:t>CAB 12796.</w:t>
      </w:r>
    </w:p>
    <w:p>
      <w:pPr>
        <w:pStyle w:val="Standard"/>
        <w:ind w:firstLine="708"/>
        <w:rPr>
          <w:rFonts w:ascii="Arial" w:hAnsi="Arial" w:eastAsia="Arial" w:cs="Arial"/>
          <w:color w:val="000000"/>
          <w:sz w:val="22"/>
          <w:szCs w:val="22"/>
          <w:highlight w:val="white"/>
        </w:rPr>
      </w:pPr>
      <w:r>
        <w:rPr>
          <w:rFonts w:eastAsia="Arial" w:cs="Arial" w:ascii="Arial" w:hAnsi="Arial"/>
          <w:color w:val="000000"/>
          <w:sz w:val="22"/>
          <w:szCs w:val="22"/>
          <w:shd w:fill="FFFFFF" w:val="clear"/>
        </w:rPr>
        <w:t>IBAN:   IT71W0623012796000056763727</w:t>
      </w:r>
      <w:bookmarkStart w:id="0" w:name="_GoBack"/>
      <w:bookmarkEnd w:id="0"/>
    </w:p>
    <w:p>
      <w:pPr>
        <w:pStyle w:val="Sche3"/>
        <w:tabs>
          <w:tab w:val="clear" w:pos="720"/>
          <w:tab w:val="left" w:pos="709" w:leader="dot"/>
          <w:tab w:val="left" w:pos="993" w:leader="none"/>
        </w:tabs>
        <w:rPr>
          <w:rFonts w:ascii="Arial" w:hAnsi="Arial" w:cs="Arial"/>
          <w:b/>
          <w:b/>
          <w:sz w:val="22"/>
          <w:szCs w:val="22"/>
          <w:highlight w:val="white"/>
          <w:lang w:val="it-IT"/>
        </w:rPr>
      </w:pPr>
      <w:r>
        <w:rPr>
          <w:rFonts w:cs="Arial" w:ascii="Arial" w:hAnsi="Arial"/>
          <w:b/>
          <w:sz w:val="22"/>
          <w:szCs w:val="22"/>
          <w:highlight w:val="white"/>
          <w:lang w:val="it-IT"/>
        </w:rPr>
      </w:r>
    </w:p>
    <w:p>
      <w:pPr>
        <w:pStyle w:val="Sche3"/>
        <w:numPr>
          <w:ilvl w:val="0"/>
          <w:numId w:val="13"/>
        </w:numPr>
        <w:tabs>
          <w:tab w:val="clear" w:pos="720"/>
          <w:tab w:val="left" w:pos="-360" w:leader="dot"/>
          <w:tab w:val="left" w:pos="273" w:leader="none"/>
        </w:tabs>
        <w:jc w:val="left"/>
        <w:rPr>
          <w:rFonts w:ascii="Arial" w:hAnsi="Arial" w:cs="Arial"/>
          <w:sz w:val="22"/>
          <w:szCs w:val="22"/>
          <w:highlight w:val="white"/>
          <w:lang w:val="it-IT"/>
        </w:rPr>
      </w:pPr>
      <w:r>
        <w:rPr>
          <w:rFonts w:cs="Arial" w:ascii="Arial" w:hAnsi="Arial"/>
          <w:sz w:val="22"/>
          <w:szCs w:val="22"/>
          <w:shd w:fill="FFFFFF" w:val="clear"/>
          <w:lang w:val="it-IT"/>
        </w:rPr>
        <w:t>che ai sensi del comma 7 dell’art. 3 della Legge 136/2010 e s.m. e i. la persona/le persone delegata/delegate ad operare sul sopra citato conto corrente sono le seguenti:</w:t>
      </w:r>
    </w:p>
    <w:p>
      <w:pPr>
        <w:pStyle w:val="Sche3"/>
        <w:tabs>
          <w:tab w:val="clear" w:pos="720"/>
          <w:tab w:val="left" w:pos="709" w:leader="dot"/>
        </w:tabs>
        <w:rPr>
          <w:rFonts w:ascii="Arial" w:hAnsi="Arial" w:eastAsia="SimSun, 宋体" w:cs="Arial"/>
          <w:sz w:val="22"/>
          <w:szCs w:val="22"/>
          <w:highlight w:val="white"/>
          <w:lang w:val="it-IT"/>
        </w:rPr>
      </w:pPr>
      <w:r>
        <w:rPr>
          <w:rFonts w:eastAsia="SimSun, 宋体" w:cs="Arial" w:ascii="Arial" w:hAnsi="Arial"/>
          <w:sz w:val="22"/>
          <w:szCs w:val="22"/>
          <w:highlight w:val="white"/>
          <w:lang w:val="it-IT"/>
        </w:rPr>
        <w:tab/>
      </w:r>
    </w:p>
    <w:p>
      <w:pPr>
        <w:pStyle w:val="Sche3"/>
        <w:numPr>
          <w:ilvl w:val="0"/>
          <w:numId w:val="9"/>
        </w:numPr>
        <w:tabs>
          <w:tab w:val="clear" w:pos="720"/>
          <w:tab w:val="left" w:pos="709" w:leader="dot"/>
        </w:tabs>
        <w:rPr>
          <w:rFonts w:ascii="Arial" w:hAnsi="Arial" w:eastAsia="SimSun, 宋体" w:cs="Arial"/>
          <w:sz w:val="22"/>
          <w:szCs w:val="22"/>
          <w:highlight w:val="white"/>
          <w:lang w:val="it-IT"/>
        </w:rPr>
      </w:pPr>
      <w:r>
        <w:rPr>
          <w:rFonts w:eastAsia="SimSun, 宋体" w:cs="Arial" w:ascii="Arial" w:hAnsi="Arial"/>
          <w:sz w:val="22"/>
          <w:szCs w:val="22"/>
          <w:highlight w:val="white"/>
          <w:lang w:val="it-IT"/>
        </w:rPr>
        <w:t>Ing. Giuseppe Stefanini</w:t>
      </w:r>
    </w:p>
    <w:p>
      <w:pPr>
        <w:pStyle w:val="Standard"/>
        <w:ind w:left="720" w:hanging="0"/>
        <w:jc w:val="both"/>
        <w:rPr>
          <w:rFonts w:ascii="Arial" w:hAnsi="Arial" w:cs="Arial"/>
          <w:sz w:val="22"/>
          <w:szCs w:val="22"/>
        </w:rPr>
      </w:pPr>
      <w:r>
        <w:rPr>
          <w:rFonts w:cs="Arial" w:ascii="Arial" w:hAnsi="Arial"/>
          <w:sz w:val="22"/>
          <w:szCs w:val="22"/>
        </w:rPr>
      </w:r>
    </w:p>
    <w:p>
      <w:pPr>
        <w:pStyle w:val="Standard"/>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Standard"/>
        <w:jc w:val="both"/>
        <w:rPr>
          <w:rFonts w:ascii="Arial" w:hAnsi="Arial" w:cs="Arial"/>
          <w:b/>
          <w:b/>
          <w:sz w:val="22"/>
          <w:szCs w:val="22"/>
        </w:rPr>
      </w:pPr>
      <w:r>
        <w:rPr>
          <w:rFonts w:cs="Arial" w:ascii="Arial" w:hAnsi="Arial"/>
          <w:b/>
          <w:sz w:val="22"/>
          <w:szCs w:val="22"/>
        </w:rPr>
        <w:t xml:space="preserve">9) </w:t>
        <w:tab/>
        <w:t>Foro competente</w:t>
      </w:r>
    </w:p>
    <w:p>
      <w:pPr>
        <w:pStyle w:val="Standard"/>
        <w:jc w:val="both"/>
        <w:rPr>
          <w:rFonts w:ascii="Arial" w:hAnsi="Arial" w:cs="Arial"/>
          <w:sz w:val="22"/>
          <w:szCs w:val="22"/>
        </w:rPr>
      </w:pPr>
      <w:r>
        <w:rPr>
          <w:rFonts w:cs="Arial" w:ascii="Arial" w:hAnsi="Arial"/>
          <w:sz w:val="22"/>
          <w:szCs w:val="22"/>
        </w:rPr>
        <w:t>Per ogni controversia che dovesse insorgere in esecuzione del contratto è competente in via esclusiva il Foro di Parma.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10) </w:t>
        <w:tab/>
        <w:t>Comunicazioni</w:t>
      </w:r>
    </w:p>
    <w:p>
      <w:pPr>
        <w:pStyle w:val="Standard"/>
        <w:jc w:val="both"/>
        <w:rPr/>
      </w:pPr>
      <w:r>
        <w:rPr>
          <w:rFonts w:cs="Arial" w:ascii="Arial" w:hAnsi="Arial"/>
          <w:sz w:val="22"/>
          <w:szCs w:val="22"/>
        </w:rPr>
        <w:t xml:space="preserve">Ai fini del presente contratto saranno efficaci esclusivamente le comunicazioni inviate al seguente indirizzo: Servizio Viabilità e Infrastrutture della Provincia di Parma, V.le Martiri della Libertà, 15 – 43123 Parma, PEC </w:t>
      </w:r>
      <w:hyperlink r:id="rId3">
        <w:r>
          <w:rPr>
            <w:rStyle w:val="CollegamentoInternet"/>
            <w:rFonts w:cs="Arial" w:ascii="Arial" w:hAnsi="Arial"/>
            <w:sz w:val="22"/>
            <w:szCs w:val="22"/>
          </w:rPr>
          <w:t>protocollo@postacert.provincia.parma.it</w:t>
        </w:r>
      </w:hyperlink>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11) </w:t>
        <w:tab/>
        <w:t>Proprietà dei dati</w:t>
      </w:r>
    </w:p>
    <w:p>
      <w:pPr>
        <w:pStyle w:val="Standard"/>
        <w:jc w:val="both"/>
        <w:rPr>
          <w:rFonts w:ascii="Arial" w:hAnsi="Arial" w:cs="Arial"/>
          <w:sz w:val="22"/>
          <w:szCs w:val="22"/>
        </w:rPr>
      </w:pPr>
      <w:r>
        <w:rPr>
          <w:rFonts w:cs="Arial" w:ascii="Arial" w:hAnsi="Arial"/>
          <w:sz w:val="22"/>
          <w:szCs w:val="22"/>
        </w:rPr>
        <w:t>L’Incaricato assume ogni responsabilità per l’utilizzo di mezzi o soluzioni che violino diritti di privativa altrui.</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12)</w:t>
        <w:tab/>
        <w:t xml:space="preserve"> Obblighi di riservatezza</w:t>
      </w:r>
    </w:p>
    <w:p>
      <w:pPr>
        <w:pStyle w:val="Standard"/>
        <w:jc w:val="both"/>
        <w:rPr>
          <w:rFonts w:ascii="Arial" w:hAnsi="Arial" w:cs="Arial"/>
          <w:sz w:val="22"/>
          <w:szCs w:val="22"/>
        </w:rPr>
      </w:pPr>
      <w:r>
        <w:rPr>
          <w:rFonts w:cs="Arial" w:ascii="Arial" w:hAnsi="Arial"/>
          <w:sz w:val="22"/>
          <w:szCs w:val="22"/>
        </w:rPr>
        <w:t>L’Incaricato ha l’obbligo di non utilizzare dati e informazioni di cui venga in possesso per scopi diversi da quelli strettamente necessari all’esecuzione del presente contratto, a meno di non ottenere espressa autorizzazione in tal senso dal Committente.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13) </w:t>
        <w:tab/>
        <w:t>Dichiarazione ai sensi dell’art. 53 del D.lgs 165/01</w:t>
      </w:r>
    </w:p>
    <w:p>
      <w:pPr>
        <w:pStyle w:val="Standard"/>
        <w:jc w:val="both"/>
        <w:rPr>
          <w:rFonts w:ascii="Arial" w:hAnsi="Arial" w:cs="Arial"/>
          <w:sz w:val="22"/>
          <w:szCs w:val="22"/>
        </w:rPr>
      </w:pPr>
      <w:r>
        <w:rPr>
          <w:rFonts w:cs="Arial" w:ascii="Arial" w:hAnsi="Arial"/>
          <w:sz w:val="22"/>
          <w:szCs w:val="22"/>
        </w:rPr>
        <w:t>L’Incaricato dichiara di non trovarsi in alcuna condizione di incompatibilità ai sensi delle disposizioni di legge, in particolare ai sensi dell’art. 53 del D.lgs 165/01 e a tal fine allega la dichiarazione sostitutiva di atto notorio.</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bCs/>
          <w:sz w:val="22"/>
          <w:szCs w:val="22"/>
        </w:rPr>
      </w:pPr>
      <w:r>
        <w:rPr>
          <w:rFonts w:cs="Arial" w:ascii="Arial" w:hAnsi="Arial"/>
          <w:b/>
          <w:bCs/>
          <w:sz w:val="22"/>
          <w:szCs w:val="22"/>
        </w:rPr>
        <w:t>14)       Dichiarazione unica di regolarità contributiva</w:t>
      </w:r>
    </w:p>
    <w:p>
      <w:pPr>
        <w:pStyle w:val="Standard"/>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L’Incaricato dichiara inoltre, sotto la propria responsabilità, a norma dell’art. 4 comma 14-bis DL n. 70/2011 convertito con Legge 106/2011 ed ai sensi dell’art. 46 del DPR 445/200 consapevole delle sanzioni penali per le falsità in atti o dichiarazioni mendaci (art. 76 DPR 445/2000) che è iscritto/assicurato ai seguenti Enti previdenziali:   </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sz w:val="22"/>
          <w:szCs w:val="22"/>
        </w:rPr>
      </w:pPr>
      <w:r>
        <w:rPr>
          <w:rFonts w:cs="Arial" w:ascii="Arial" w:hAnsi="Arial"/>
          <w:sz w:val="22"/>
          <w:szCs w:val="22"/>
        </w:rPr>
        <w:t xml:space="preserve">INARCASSA - Matricola </w:t>
      </w:r>
      <w:r>
        <w:rPr>
          <w:rFonts w:ascii="Arial" w:hAnsi="Arial"/>
          <w:sz w:val="22"/>
          <w:szCs w:val="22"/>
        </w:rPr>
        <w:t xml:space="preserve">363147 </w:t>
      </w:r>
      <w:r>
        <w:rPr>
          <w:rFonts w:cs="Arial" w:ascii="Arial" w:hAnsi="Arial"/>
          <w:sz w:val="22"/>
          <w:szCs w:val="22"/>
        </w:rPr>
        <w:t xml:space="preserve"> e di trovarsi in situazione di regolarità contributiva.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15) </w:t>
        <w:tab/>
        <w:t>Trattamento dati personali</w:t>
      </w:r>
    </w:p>
    <w:p>
      <w:pPr>
        <w:pStyle w:val="Standard"/>
        <w:jc w:val="both"/>
        <w:rPr>
          <w:rFonts w:ascii="Arial" w:hAnsi="Arial" w:cs="Arial"/>
          <w:color w:val="000000"/>
          <w:sz w:val="22"/>
          <w:szCs w:val="22"/>
        </w:rPr>
      </w:pPr>
      <w:r>
        <w:rPr>
          <w:rFonts w:cs="Arial" w:ascii="Arial" w:hAnsi="Arial"/>
          <w:color w:val="000000"/>
          <w:sz w:val="22"/>
          <w:szCs w:val="22"/>
        </w:rPr>
        <w:t>L’incaricato dichiara di aver preso visione dell’informativa ai sensi dell’art. 13 del Regolamento UE 2016/679 “ Regolamento generale della protezione dei dati” per l’utenza esterna, agli atti d’ufficio. La scrivente Amm.ne utilizzerà i dati dichiarati esclusivamente per finalità istituzionali e nell’ambito delle prestazioni relative all’incarico conferito. I dati personali forniti possono costituire oggetto di comunicazione nell’ambito e per le finalità strettamente connesse al procedimento relativo all’incarico di che trattasi, sia all’interno degli uffici appartenenti alla struttura del committente, sia all’esterno, con riferimento a soggetti individuati dalla normativa vigente. Il Titolare garantisce all’incaricato i diritti di cui agli artt. 12-22 del sopracitato Regolamento.</w:t>
      </w:r>
    </w:p>
    <w:p>
      <w:pPr>
        <w:pStyle w:val="Standard"/>
        <w:jc w:val="both"/>
        <w:rPr>
          <w:rFonts w:ascii="Arial" w:hAnsi="Arial" w:cs="Arial"/>
          <w:color w:val="000000"/>
          <w:sz w:val="22"/>
          <w:szCs w:val="22"/>
        </w:rPr>
      </w:pPr>
      <w:r>
        <w:rPr>
          <w:rFonts w:cs="Arial" w:ascii="Arial" w:hAnsi="Arial"/>
          <w:color w:val="000000"/>
          <w:sz w:val="22"/>
          <w:szCs w:val="22"/>
        </w:rPr>
        <w:t>Titolare del trattamento dei dati personali è la Provincia di Parma, nella persona del suo legale rappresentante. Il Responsabile del trattamento dei dati è l’ing. Gianpaolo Monteverdi, Dirigente del Servizio “Viabilità e Infrastrutture – Trasporti Eccezionali Espropri – Manutenzione Patrimonio Edilizia Scolastica”.</w:t>
      </w:r>
    </w:p>
    <w:p>
      <w:pPr>
        <w:pStyle w:val="Standard"/>
        <w:jc w:val="both"/>
        <w:rPr>
          <w:rFonts w:ascii="Arial" w:hAnsi="Arial" w:eastAsia="Arial" w:cs="Arial"/>
          <w:sz w:val="22"/>
          <w:szCs w:val="22"/>
        </w:rPr>
      </w:pPr>
      <w:r>
        <w:rPr>
          <w:rFonts w:eastAsia="Arial" w:cs="Arial" w:ascii="Arial" w:hAnsi="Arial"/>
          <w:sz w:val="22"/>
          <w:szCs w:val="22"/>
        </w:rPr>
        <w:t xml:space="preserve"> </w:t>
      </w:r>
    </w:p>
    <w:p>
      <w:pPr>
        <w:pStyle w:val="Standard"/>
        <w:jc w:val="both"/>
        <w:rPr>
          <w:rFonts w:ascii="Arial" w:hAnsi="Arial" w:cs="Arial"/>
          <w:b/>
          <w:b/>
          <w:sz w:val="22"/>
          <w:szCs w:val="22"/>
        </w:rPr>
      </w:pPr>
      <w:r>
        <w:rPr>
          <w:rFonts w:cs="Arial" w:ascii="Arial" w:hAnsi="Arial"/>
          <w:b/>
          <w:sz w:val="22"/>
          <w:szCs w:val="22"/>
        </w:rPr>
        <w:t xml:space="preserve">15) </w:t>
        <w:tab/>
        <w:t>Clausola ai sensi del DPR 62/2013</w:t>
      </w:r>
    </w:p>
    <w:p>
      <w:pPr>
        <w:pStyle w:val="Standard"/>
        <w:jc w:val="both"/>
        <w:rPr>
          <w:rFonts w:ascii="Arial" w:hAnsi="Arial" w:cs="Arial"/>
          <w:sz w:val="22"/>
          <w:szCs w:val="22"/>
        </w:rPr>
      </w:pPr>
      <w:r>
        <w:rPr>
          <w:rFonts w:cs="Arial" w:ascii="Arial" w:hAnsi="Arial"/>
          <w:sz w:val="22"/>
          <w:szCs w:val="22"/>
        </w:rPr>
        <w:t>Il contraente dichiara di essere a conoscenza che il rapporto di cui al presente atto con la Provincia di Parma si risolverà di diritto ed in forza di apposita comunicazione dell’Ente, nell’ipotesi di violazione da parte del contraente stesso agli obblighi derivanti dal D.P.R. 62/2013 (Regolamento recante codice di comportamento dei dipendenti pubblici) ai sensi dell’art. 2 comma 3, ultimo periodo.</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16) </w:t>
        <w:tab/>
        <w:t>Norme di rinvio</w:t>
      </w:r>
    </w:p>
    <w:p>
      <w:pPr>
        <w:pStyle w:val="Standard"/>
        <w:jc w:val="both"/>
        <w:rPr/>
      </w:pPr>
      <w:r>
        <w:rPr>
          <w:rFonts w:cs="Arial" w:ascii="Arial" w:hAnsi="Arial"/>
          <w:sz w:val="22"/>
          <w:szCs w:val="22"/>
        </w:rPr>
        <w:t>Per quanto non espressamente previsto, si fa riferimento al D. Lgs. n. 50/2016 e al Regolamento Prov.le per l’acquisizione in economia di beni, servizi e lavori approvato con atto C.P. n. 62/2011.</w:t>
      </w:r>
    </w:p>
    <w:p>
      <w:pPr>
        <w:pStyle w:val="Standard"/>
        <w:jc w:val="both"/>
        <w:rPr>
          <w:rFonts w:ascii="Calibri" w:hAnsi="Calibri" w:cs="Calibri"/>
          <w:sz w:val="22"/>
          <w:szCs w:val="22"/>
        </w:rPr>
      </w:pPr>
      <w:r>
        <w:rPr>
          <w:rFonts w:cs="Calibri" w:ascii="Calibri" w:hAnsi="Calibri"/>
          <w:sz w:val="22"/>
          <w:szCs w:val="22"/>
        </w:rPr>
      </w:r>
    </w:p>
    <w:p>
      <w:pPr>
        <w:pStyle w:val="Standard"/>
        <w:jc w:val="both"/>
        <w:rPr>
          <w:rFonts w:ascii="Arial" w:hAnsi="Arial" w:cs="Arial"/>
          <w:b/>
          <w:b/>
          <w:sz w:val="22"/>
          <w:szCs w:val="22"/>
        </w:rPr>
      </w:pPr>
      <w:r>
        <w:rPr>
          <w:rFonts w:cs="Arial" w:ascii="Arial" w:hAnsi="Arial"/>
          <w:b/>
          <w:sz w:val="22"/>
          <w:szCs w:val="22"/>
        </w:rPr>
        <w:t xml:space="preserve">17) </w:t>
        <w:tab/>
        <w:t>Decorrenza del disciplinare</w:t>
      </w:r>
    </w:p>
    <w:p>
      <w:pPr>
        <w:pStyle w:val="Standard"/>
        <w:jc w:val="both"/>
        <w:rPr/>
      </w:pPr>
      <w:r>
        <w:rPr>
          <w:rFonts w:cs="Arial" w:ascii="Arial" w:hAnsi="Arial"/>
          <w:sz w:val="22"/>
          <w:szCs w:val="22"/>
        </w:rPr>
        <w:t>Il presente atto, stipulato in forma di scrittura privata, è soggetto a registrazione in caso d’uso ai sensi dell’art. 10, parte seconda, e art. 1 della tabella allegata al DPR n. 131 del 26/04/1986 a carico della parte richiedente, mentre le spese relative all’imposta di bollo sono a carico dell’Incaricato. Il presente contratto decorre, per entrambe le parti, dalla data della sua sottoscrizione.</w:t>
      </w:r>
    </w:p>
    <w:sectPr>
      <w:headerReference w:type="default" r:id="rId4"/>
      <w:type w:val="nextPage"/>
      <w:pgSz w:w="11906" w:h="16838"/>
      <w:pgMar w:left="1134" w:right="1134" w:header="708" w:top="1417"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Liberation Sans">
    <w:altName w:val="Arial"/>
    <w:charset w:val="00"/>
    <w:family w:val="roman"/>
    <w:pitch w:val="variable"/>
  </w:font>
  <w:font w:name="Tahoma">
    <w:charset w:val="00"/>
    <w:family w:val="roman"/>
    <w:pitch w:val="variable"/>
  </w:font>
  <w:font w:name="ArialMT">
    <w:altName w:val=" Arial"/>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right="360" w:hanging="0"/>
      <w:rPr/>
    </w:pPr>
    <w:r>
      <w:rPr>
        <w:rFonts w:ascii="Arial" w:hAnsi="Arial"/>
        <w:i/>
        <w:iCs/>
        <w:color w:val="000000"/>
        <w:sz w:val="22"/>
        <w:szCs w:val="22"/>
        <w:shd w:fill="FFFF00" w:val="clear"/>
      </w:rPr>
      <w:t>Prot. n° xxxxx del xx/xx/2022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35" w:hanging="360"/>
      </w:pPr>
      <w:rPr>
        <w:rFonts w:ascii="Symbol" w:hAnsi="Symbol" w:cs="Symbol" w:hint="default"/>
        <w:rFonts w:cs="OpenSymbol, 'Arial Unicode MS'"/>
      </w:rPr>
    </w:lvl>
    <w:lvl w:ilvl="1">
      <w:start w:val="1"/>
      <w:numFmt w:val="bullet"/>
      <w:lvlText w:val="◦"/>
      <w:lvlJc w:val="left"/>
      <w:pPr>
        <w:ind w:left="1195" w:hanging="360"/>
      </w:pPr>
      <w:rPr>
        <w:rFonts w:ascii="OpenSymbol" w:hAnsi="OpenSymbol" w:cs="OpenSymbol" w:hint="default"/>
        <w:rFonts w:cs="OpenSymbol, 'Arial Unicode MS'"/>
      </w:rPr>
    </w:lvl>
    <w:lvl w:ilvl="2">
      <w:start w:val="1"/>
      <w:numFmt w:val="bullet"/>
      <w:lvlText w:val="▪"/>
      <w:lvlJc w:val="left"/>
      <w:pPr>
        <w:ind w:left="1555" w:hanging="360"/>
      </w:pPr>
      <w:rPr>
        <w:rFonts w:ascii="OpenSymbol" w:hAnsi="OpenSymbol" w:cs="OpenSymbol" w:hint="default"/>
        <w:rFonts w:cs="OpenSymbol, 'Arial Unicode MS'"/>
      </w:rPr>
    </w:lvl>
    <w:lvl w:ilvl="3">
      <w:start w:val="1"/>
      <w:numFmt w:val="bullet"/>
      <w:lvlText w:val=""/>
      <w:lvlJc w:val="left"/>
      <w:pPr>
        <w:ind w:left="1915" w:hanging="360"/>
      </w:pPr>
      <w:rPr>
        <w:rFonts w:ascii="Symbol" w:hAnsi="Symbol" w:cs="Symbol" w:hint="default"/>
        <w:rFonts w:cs="OpenSymbol, 'Arial Unicode MS'"/>
      </w:rPr>
    </w:lvl>
    <w:lvl w:ilvl="4">
      <w:start w:val="1"/>
      <w:numFmt w:val="bullet"/>
      <w:lvlText w:val="◦"/>
      <w:lvlJc w:val="left"/>
      <w:pPr>
        <w:ind w:left="2275" w:hanging="360"/>
      </w:pPr>
      <w:rPr>
        <w:rFonts w:ascii="OpenSymbol" w:hAnsi="OpenSymbol" w:cs="OpenSymbol" w:hint="default"/>
        <w:rFonts w:cs="OpenSymbol, 'Arial Unicode MS'"/>
      </w:rPr>
    </w:lvl>
    <w:lvl w:ilvl="5">
      <w:start w:val="1"/>
      <w:numFmt w:val="bullet"/>
      <w:lvlText w:val="▪"/>
      <w:lvlJc w:val="left"/>
      <w:pPr>
        <w:ind w:left="2635" w:hanging="360"/>
      </w:pPr>
      <w:rPr>
        <w:rFonts w:ascii="OpenSymbol" w:hAnsi="OpenSymbol" w:cs="OpenSymbol" w:hint="default"/>
        <w:rFonts w:cs="OpenSymbol, 'Arial Unicode MS'"/>
      </w:rPr>
    </w:lvl>
    <w:lvl w:ilvl="6">
      <w:start w:val="1"/>
      <w:numFmt w:val="bullet"/>
      <w:lvlText w:val=""/>
      <w:lvlJc w:val="left"/>
      <w:pPr>
        <w:ind w:left="2995" w:hanging="360"/>
      </w:pPr>
      <w:rPr>
        <w:rFonts w:ascii="Symbol" w:hAnsi="Symbol" w:cs="Symbol" w:hint="default"/>
        <w:rFonts w:cs="OpenSymbol, 'Arial Unicode MS'"/>
      </w:rPr>
    </w:lvl>
    <w:lvl w:ilvl="7">
      <w:start w:val="1"/>
      <w:numFmt w:val="bullet"/>
      <w:lvlText w:val="◦"/>
      <w:lvlJc w:val="left"/>
      <w:pPr>
        <w:ind w:left="3355" w:hanging="360"/>
      </w:pPr>
      <w:rPr>
        <w:rFonts w:ascii="OpenSymbol" w:hAnsi="OpenSymbol" w:cs="OpenSymbol" w:hint="default"/>
        <w:rFonts w:cs="OpenSymbol, 'Arial Unicode MS'"/>
      </w:rPr>
    </w:lvl>
    <w:lvl w:ilvl="8">
      <w:start w:val="1"/>
      <w:numFmt w:val="bullet"/>
      <w:lvlText w:val="▪"/>
      <w:lvlJc w:val="left"/>
      <w:pPr>
        <w:ind w:left="3715" w:hanging="360"/>
      </w:pPr>
      <w:rPr>
        <w:rFonts w:ascii="OpenSymbol" w:hAnsi="OpenSymbol" w:cs="OpenSymbol" w:hint="default"/>
        <w:rFonts w:cs="OpenSymbol, 'Arial Unicode MS'"/>
      </w:rPr>
    </w:lvl>
  </w:abstractNum>
  <w:abstractNum w:abstractNumId="2">
    <w:lvl w:ilvl="0">
      <w:start w:val="1"/>
      <w:numFmt w:val="bullet"/>
      <w:lvlText w:val=""/>
      <w:lvlJc w:val="left"/>
      <w:pPr>
        <w:ind w:left="720" w:hanging="360"/>
      </w:pPr>
      <w:rPr>
        <w:rFonts w:ascii="Symbol" w:hAnsi="Symbol" w:cs="Symbol" w:hint="default"/>
        <w:rFonts w:cs="OpenSymbol, 'Arial Unicode MS'"/>
      </w:rPr>
    </w:lvl>
    <w:lvl w:ilvl="1">
      <w:start w:val="1"/>
      <w:numFmt w:val="bullet"/>
      <w:lvlText w:val=""/>
      <w:lvlJc w:val="left"/>
      <w:pPr>
        <w:ind w:left="1080" w:hanging="360"/>
      </w:pPr>
      <w:rPr>
        <w:rFonts w:ascii="Symbol" w:hAnsi="Symbol" w:cs="Symbol" w:hint="default"/>
        <w:rFonts w:cs="OpenSymbol, 'Arial Unicode MS'"/>
      </w:rPr>
    </w:lvl>
    <w:lvl w:ilvl="2">
      <w:start w:val="1"/>
      <w:numFmt w:val="bullet"/>
      <w:lvlText w:val=""/>
      <w:lvlJc w:val="left"/>
      <w:pPr>
        <w:ind w:left="1440" w:hanging="360"/>
      </w:pPr>
      <w:rPr>
        <w:rFonts w:ascii="Symbol" w:hAnsi="Symbol" w:cs="Symbol" w:hint="default"/>
        <w:rFonts w:cs="OpenSymbol, 'Arial Unicode MS'"/>
      </w:rPr>
    </w:lvl>
    <w:lvl w:ilvl="3">
      <w:start w:val="1"/>
      <w:numFmt w:val="bullet"/>
      <w:lvlText w:val=""/>
      <w:lvlJc w:val="left"/>
      <w:pPr>
        <w:ind w:left="1800" w:hanging="360"/>
      </w:pPr>
      <w:rPr>
        <w:rFonts w:ascii="Symbol" w:hAnsi="Symbol" w:cs="Symbol" w:hint="default"/>
        <w:rFonts w:cs="OpenSymbol, 'Arial Unicode MS'"/>
      </w:rPr>
    </w:lvl>
    <w:lvl w:ilvl="4">
      <w:start w:val="1"/>
      <w:numFmt w:val="bullet"/>
      <w:lvlText w:val=""/>
      <w:lvlJc w:val="left"/>
      <w:pPr>
        <w:ind w:left="2160" w:hanging="360"/>
      </w:pPr>
      <w:rPr>
        <w:rFonts w:ascii="Symbol" w:hAnsi="Symbol" w:cs="Symbol" w:hint="default"/>
        <w:rFonts w:cs="OpenSymbol, 'Arial Unicode MS'"/>
      </w:rPr>
    </w:lvl>
    <w:lvl w:ilvl="5">
      <w:start w:val="1"/>
      <w:numFmt w:val="bullet"/>
      <w:lvlText w:val=""/>
      <w:lvlJc w:val="left"/>
      <w:pPr>
        <w:ind w:left="2520" w:hanging="360"/>
      </w:pPr>
      <w:rPr>
        <w:rFonts w:ascii="Symbol" w:hAnsi="Symbol" w:cs="Symbol" w:hint="default"/>
        <w:rFonts w:cs="OpenSymbol, 'Arial Unicode MS'"/>
      </w:rPr>
    </w:lvl>
    <w:lvl w:ilvl="6">
      <w:start w:val="1"/>
      <w:numFmt w:val="bullet"/>
      <w:lvlText w:val=""/>
      <w:lvlJc w:val="left"/>
      <w:pPr>
        <w:ind w:left="2880" w:hanging="360"/>
      </w:pPr>
      <w:rPr>
        <w:rFonts w:ascii="Symbol" w:hAnsi="Symbol" w:cs="Symbol" w:hint="default"/>
        <w:rFonts w:cs="OpenSymbol, 'Arial Unicode MS'"/>
      </w:rPr>
    </w:lvl>
    <w:lvl w:ilvl="7">
      <w:start w:val="1"/>
      <w:numFmt w:val="bullet"/>
      <w:lvlText w:val=""/>
      <w:lvlJc w:val="left"/>
      <w:pPr>
        <w:ind w:left="3240" w:hanging="360"/>
      </w:pPr>
      <w:rPr>
        <w:rFonts w:ascii="Symbol" w:hAnsi="Symbol" w:cs="Symbol" w:hint="default"/>
        <w:rFonts w:cs="OpenSymbol, 'Arial Unicode MS'"/>
      </w:rPr>
    </w:lvl>
    <w:lvl w:ilvl="8">
      <w:start w:val="1"/>
      <w:numFmt w:val="bullet"/>
      <w:lvlText w:val=""/>
      <w:lvlJc w:val="left"/>
      <w:pPr>
        <w:ind w:left="3600" w:hanging="360"/>
      </w:pPr>
      <w:rPr>
        <w:rFonts w:ascii="Symbol" w:hAnsi="Symbol" w:cs="Symbol" w:hint="default"/>
        <w:rFonts w:cs="OpenSymbol, 'Arial Unicode MS'"/>
      </w:rPr>
    </w:lvl>
  </w:abstractNum>
  <w:abstractNum w:abstractNumId="3">
    <w:lvl w:ilvl="0">
      <w:start w:val="1"/>
      <w:numFmt w:val="upperRoman"/>
      <w:lvlText w:val="%1."/>
      <w:lvlJc w:val="left"/>
      <w:pPr>
        <w:ind w:left="720" w:hanging="360"/>
      </w:p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4">
    <w:lvl w:ilvl="0">
      <w:start w:val="3"/>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1."/>
      <w:lvlJc w:val="left"/>
      <w:pPr>
        <w:ind w:left="720" w:hanging="360"/>
      </w:pPr>
      <w:rPr>
        <w:sz w:val="22"/>
        <w:szCs w:val="22"/>
        <w:rFonts w:cs="Arial"/>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1080" w:hanging="360"/>
      </w:pPr>
      <w:rPr>
        <w:rFonts w:ascii="OpenSymbol" w:hAnsi="OpenSymbol" w:cs="OpenSymbol" w:hint="default"/>
      </w:rPr>
    </w:lvl>
    <w:lvl w:ilvl="1">
      <w:start w:val="1"/>
      <w:numFmt w:val="bullet"/>
      <w:lvlText w:val="▪"/>
      <w:lvlJc w:val="left"/>
      <w:pPr>
        <w:ind w:left="1440" w:hanging="360"/>
      </w:pPr>
      <w:rPr>
        <w:rFonts w:ascii="OpenSymbol" w:hAnsi="OpenSymbol" w:cs="OpenSymbol" w:hint="default"/>
        <w:rFonts w:cs="OpenSymbol, 'Arial Unicode MS'"/>
      </w:rPr>
    </w:lvl>
    <w:lvl w:ilvl="2">
      <w:start w:val="1"/>
      <w:numFmt w:val="bullet"/>
      <w:lvlText w:val=""/>
      <w:lvlJc w:val="left"/>
      <w:pPr>
        <w:ind w:left="1800" w:hanging="360"/>
      </w:pPr>
      <w:rPr>
        <w:rFonts w:ascii="Symbol" w:hAnsi="Symbol" w:cs="Symbol" w:hint="default"/>
        <w:rFonts w:cs="OpenSymbol, 'Arial Unicode MS'"/>
      </w:rPr>
    </w:lvl>
    <w:lvl w:ilvl="3">
      <w:start w:val="1"/>
      <w:numFmt w:val="bullet"/>
      <w:lvlText w:val="◦"/>
      <w:lvlJc w:val="left"/>
      <w:pPr>
        <w:ind w:left="2160" w:hanging="360"/>
      </w:pPr>
      <w:rPr>
        <w:rFonts w:ascii="OpenSymbol" w:hAnsi="OpenSymbol" w:cs="OpenSymbol" w:hint="default"/>
        <w:rFonts w:cs="OpenSymbol, 'Arial Unicode MS'"/>
      </w:rPr>
    </w:lvl>
    <w:lvl w:ilvl="4">
      <w:start w:val="1"/>
      <w:numFmt w:val="bullet"/>
      <w:lvlText w:val="▪"/>
      <w:lvlJc w:val="left"/>
      <w:pPr>
        <w:ind w:left="2520" w:hanging="360"/>
      </w:pPr>
      <w:rPr>
        <w:rFonts w:ascii="OpenSymbol" w:hAnsi="OpenSymbol" w:cs="OpenSymbol" w:hint="default"/>
        <w:rFonts w:cs="OpenSymbol, 'Arial Unicode MS'"/>
      </w:rPr>
    </w:lvl>
    <w:lvl w:ilvl="5">
      <w:start w:val="1"/>
      <w:numFmt w:val="bullet"/>
      <w:lvlText w:val=""/>
      <w:lvlJc w:val="left"/>
      <w:pPr>
        <w:ind w:left="2880" w:hanging="360"/>
      </w:pPr>
      <w:rPr>
        <w:rFonts w:ascii="Symbol" w:hAnsi="Symbol" w:cs="Symbol" w:hint="default"/>
        <w:rFonts w:cs="OpenSymbol, 'Arial Unicode MS'"/>
      </w:rPr>
    </w:lvl>
    <w:lvl w:ilvl="6">
      <w:start w:val="1"/>
      <w:numFmt w:val="bullet"/>
      <w:lvlText w:val="◦"/>
      <w:lvlJc w:val="left"/>
      <w:pPr>
        <w:ind w:left="3240" w:hanging="360"/>
      </w:pPr>
      <w:rPr>
        <w:rFonts w:ascii="OpenSymbol" w:hAnsi="OpenSymbol" w:cs="OpenSymbol" w:hint="default"/>
        <w:rFonts w:cs="OpenSymbol, 'Arial Unicode MS'"/>
      </w:rPr>
    </w:lvl>
    <w:lvl w:ilvl="7">
      <w:start w:val="1"/>
      <w:numFmt w:val="bullet"/>
      <w:lvlText w:val="▪"/>
      <w:lvlJc w:val="left"/>
      <w:pPr>
        <w:ind w:left="360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7">
    <w:lvl w:ilvl="0">
      <w:start w:val="3"/>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decimal"/>
      <w:lvlText w:val="%1."/>
      <w:lvlJc w:val="left"/>
      <w:pPr>
        <w:ind w:left="720" w:hanging="360"/>
      </w:pPr>
      <w:rPr>
        <w:sz w:val="22"/>
        <w:szCs w:val="22"/>
        <w:rFonts w:cs="Arial"/>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bullet"/>
      <w:lvlText w:val=""/>
      <w:lvlJc w:val="left"/>
      <w:pPr>
        <w:tabs>
          <w:tab w:val="num" w:pos="1429"/>
        </w:tabs>
        <w:ind w:left="1429" w:hanging="360"/>
      </w:pPr>
      <w:rPr>
        <w:rFonts w:ascii="Symbol" w:hAnsi="Symbol" w:cs="Symbol" w:hint="default"/>
        <w:rFonts w:cs="OpenSymbol, 'Arial Unicode MS'"/>
      </w:rPr>
    </w:lvl>
    <w:lvl w:ilvl="1">
      <w:start w:val="1"/>
      <w:numFmt w:val="bullet"/>
      <w:lvlText w:val="◦"/>
      <w:lvlJc w:val="left"/>
      <w:pPr>
        <w:tabs>
          <w:tab w:val="num" w:pos="1789"/>
        </w:tabs>
        <w:ind w:left="1789" w:hanging="360"/>
      </w:pPr>
      <w:rPr>
        <w:rFonts w:ascii="OpenSymbol" w:hAnsi="OpenSymbol" w:cs="OpenSymbol" w:hint="default"/>
        <w:rFonts w:cs="OpenSymbol, 'Arial Unicode MS'"/>
      </w:rPr>
    </w:lvl>
    <w:lvl w:ilvl="2">
      <w:start w:val="1"/>
      <w:numFmt w:val="bullet"/>
      <w:lvlText w:val="▪"/>
      <w:lvlJc w:val="left"/>
      <w:pPr>
        <w:tabs>
          <w:tab w:val="num" w:pos="2149"/>
        </w:tabs>
        <w:ind w:left="2149" w:hanging="360"/>
      </w:pPr>
      <w:rPr>
        <w:rFonts w:ascii="OpenSymbol" w:hAnsi="OpenSymbol" w:cs="OpenSymbol" w:hint="default"/>
        <w:rFonts w:cs="OpenSymbol, 'Arial Unicode MS'"/>
      </w:rPr>
    </w:lvl>
    <w:lvl w:ilvl="3">
      <w:start w:val="1"/>
      <w:numFmt w:val="bullet"/>
      <w:lvlText w:val=""/>
      <w:lvlJc w:val="left"/>
      <w:pPr>
        <w:tabs>
          <w:tab w:val="num" w:pos="2509"/>
        </w:tabs>
        <w:ind w:left="2509" w:hanging="360"/>
      </w:pPr>
      <w:rPr>
        <w:rFonts w:ascii="Symbol" w:hAnsi="Symbol" w:cs="Symbol" w:hint="default"/>
        <w:rFonts w:cs="OpenSymbol, 'Arial Unicode MS'"/>
      </w:rPr>
    </w:lvl>
    <w:lvl w:ilvl="4">
      <w:start w:val="1"/>
      <w:numFmt w:val="bullet"/>
      <w:lvlText w:val="◦"/>
      <w:lvlJc w:val="left"/>
      <w:pPr>
        <w:tabs>
          <w:tab w:val="num" w:pos="2869"/>
        </w:tabs>
        <w:ind w:left="2869" w:hanging="360"/>
      </w:pPr>
      <w:rPr>
        <w:rFonts w:ascii="OpenSymbol" w:hAnsi="OpenSymbol" w:cs="OpenSymbol" w:hint="default"/>
        <w:rFonts w:cs="OpenSymbol, 'Arial Unicode MS'"/>
      </w:rPr>
    </w:lvl>
    <w:lvl w:ilvl="5">
      <w:start w:val="1"/>
      <w:numFmt w:val="bullet"/>
      <w:lvlText w:val="▪"/>
      <w:lvlJc w:val="left"/>
      <w:pPr>
        <w:tabs>
          <w:tab w:val="num" w:pos="3229"/>
        </w:tabs>
        <w:ind w:left="3229" w:hanging="360"/>
      </w:pPr>
      <w:rPr>
        <w:rFonts w:ascii="OpenSymbol" w:hAnsi="OpenSymbol" w:cs="OpenSymbol" w:hint="default"/>
        <w:rFonts w:cs="OpenSymbol, 'Arial Unicode MS'"/>
      </w:rPr>
    </w:lvl>
    <w:lvl w:ilvl="6">
      <w:start w:val="1"/>
      <w:numFmt w:val="bullet"/>
      <w:lvlText w:val=""/>
      <w:lvlJc w:val="left"/>
      <w:pPr>
        <w:tabs>
          <w:tab w:val="num" w:pos="3589"/>
        </w:tabs>
        <w:ind w:left="3589" w:hanging="360"/>
      </w:pPr>
      <w:rPr>
        <w:rFonts w:ascii="Symbol" w:hAnsi="Symbol" w:cs="Symbol" w:hint="default"/>
        <w:rFonts w:cs="OpenSymbol, 'Arial Unicode MS'"/>
      </w:rPr>
    </w:lvl>
    <w:lvl w:ilvl="7">
      <w:start w:val="1"/>
      <w:numFmt w:val="bullet"/>
      <w:lvlText w:val="◦"/>
      <w:lvlJc w:val="left"/>
      <w:pPr>
        <w:tabs>
          <w:tab w:val="num" w:pos="3949"/>
        </w:tabs>
        <w:ind w:left="3949" w:hanging="360"/>
      </w:pPr>
      <w:rPr>
        <w:rFonts w:ascii="OpenSymbol" w:hAnsi="OpenSymbol" w:cs="OpenSymbol" w:hint="default"/>
        <w:rFonts w:cs="OpenSymbol, 'Arial Unicode MS'"/>
      </w:rPr>
    </w:lvl>
    <w:lvl w:ilvl="8">
      <w:start w:val="1"/>
      <w:numFmt w:val="bullet"/>
      <w:lvlText w:val="▪"/>
      <w:lvlJc w:val="left"/>
      <w:pPr>
        <w:tabs>
          <w:tab w:val="num" w:pos="4309"/>
        </w:tabs>
        <w:ind w:left="4309" w:hanging="360"/>
      </w:pPr>
      <w:rPr>
        <w:rFonts w:ascii="OpenSymbol" w:hAnsi="OpenSymbol" w:cs="OpenSymbol" w:hint="default"/>
        <w:rFonts w:cs="OpenSymbol, 'Arial Unicode M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3"/>
    <w:lvlOverride w:ilvl="0">
      <w:lvl w:ilvl="0">
        <w:start w:val="1"/>
        <w:numFmt w:val="bullet"/>
        <w:lvlText w:val="◦"/>
        <w:lvlJc w:val="left"/>
        <w:pPr>
          <w:ind w:left="1080" w:hanging="360"/>
        </w:pPr>
        <w:rPr>
          <w:rFonts w:ascii="OpenSymbol" w:hAnsi="OpenSymbol" w:cs="OpenSymbol" w:hint="default"/>
        </w:rPr>
      </w:lvl>
    </w:lvlOverride>
    <w:lvlOverride w:ilvl="1">
      <w:lvl w:ilvl="1">
        <w:start w:val="1"/>
        <w:numFmt w:val="bullet"/>
        <w:lvlText w:val="▪"/>
        <w:lvlJc w:val="left"/>
        <w:pPr>
          <w:ind w:left="1440" w:hanging="360"/>
        </w:pPr>
        <w:rPr>
          <w:rFonts w:ascii="OpenSymbol" w:hAnsi="OpenSymbol" w:cs="OpenSymbol" w:hint="default"/>
          <w:rFonts w:cs="OpenSymbol, 'Arial Unicode MS'"/>
        </w:rPr>
      </w:lvl>
    </w:lvlOverride>
    <w:lvlOverride w:ilvl="2">
      <w:lvl w:ilvl="2">
        <w:start w:val="1"/>
        <w:numFmt w:val="bullet"/>
        <w:lvlText w:val=""/>
        <w:lvlJc w:val="left"/>
        <w:pPr>
          <w:ind w:left="1800" w:hanging="360"/>
        </w:pPr>
        <w:rPr>
          <w:rFonts w:ascii="Symbol" w:hAnsi="Symbol" w:cs="Symbol" w:hint="default"/>
          <w:rFonts w:cs="OpenSymbol, 'Arial Unicode MS'"/>
        </w:rPr>
      </w:lvl>
    </w:lvlOverride>
    <w:lvlOverride w:ilvl="3">
      <w:lvl w:ilvl="3">
        <w:start w:val="1"/>
        <w:numFmt w:val="bullet"/>
        <w:lvlText w:val="◦"/>
        <w:lvlJc w:val="left"/>
        <w:pPr>
          <w:ind w:left="2160" w:hanging="360"/>
        </w:pPr>
        <w:rPr>
          <w:rFonts w:ascii="OpenSymbol" w:hAnsi="OpenSymbol" w:cs="OpenSymbol" w:hint="default"/>
          <w:rFonts w:cs="OpenSymbol, 'Arial Unicode MS'"/>
        </w:rPr>
      </w:lvl>
    </w:lvlOverride>
    <w:lvlOverride w:ilvl="4">
      <w:lvl w:ilvl="4">
        <w:start w:val="1"/>
        <w:numFmt w:val="bullet"/>
        <w:lvlText w:val="▪"/>
        <w:lvlJc w:val="left"/>
        <w:pPr>
          <w:ind w:left="2520" w:hanging="360"/>
        </w:pPr>
        <w:rPr>
          <w:rFonts w:ascii="OpenSymbol" w:hAnsi="OpenSymbol" w:cs="OpenSymbol" w:hint="default"/>
          <w:rFonts w:cs="OpenSymbol, 'Arial Unicode MS'"/>
        </w:rPr>
      </w:lvl>
    </w:lvlOverride>
    <w:lvlOverride w:ilvl="5">
      <w:lvl w:ilvl="5">
        <w:start w:val="1"/>
        <w:numFmt w:val="bullet"/>
        <w:lvlText w:val=""/>
        <w:lvlJc w:val="left"/>
        <w:pPr>
          <w:ind w:left="2880" w:hanging="360"/>
        </w:pPr>
        <w:rPr>
          <w:rFonts w:ascii="Symbol" w:hAnsi="Symbol" w:cs="Symbol" w:hint="default"/>
          <w:rFonts w:cs="OpenSymbol, 'Arial Unicode MS'"/>
        </w:rPr>
      </w:lvl>
    </w:lvlOverride>
    <w:lvlOverride w:ilvl="6">
      <w:lvl w:ilvl="6">
        <w:start w:val="1"/>
        <w:numFmt w:val="bullet"/>
        <w:lvlText w:val="◦"/>
        <w:lvlJc w:val="left"/>
        <w:pPr>
          <w:ind w:left="3240" w:hanging="360"/>
        </w:pPr>
        <w:rPr>
          <w:rFonts w:ascii="OpenSymbol" w:hAnsi="OpenSymbol" w:cs="OpenSymbol" w:hint="default"/>
          <w:rFonts w:cs="OpenSymbol, 'Arial Unicode MS'"/>
        </w:rPr>
      </w:lvl>
    </w:lvlOverride>
    <w:lvlOverride w:ilvl="7">
      <w:lvl w:ilvl="7">
        <w:start w:val="1"/>
        <w:numFmt w:val="bullet"/>
        <w:lvlText w:val="▪"/>
        <w:lvlJc w:val="left"/>
        <w:pPr>
          <w:ind w:left="3600" w:hanging="360"/>
        </w:pPr>
        <w:rPr>
          <w:rFonts w:ascii="OpenSymbol" w:hAnsi="OpenSymbol" w:cs="OpenSymbol" w:hint="default"/>
          <w:rFonts w:cs="OpenSymbol, 'Arial Unicode MS'"/>
        </w:rPr>
      </w:lvl>
    </w:lvlOverride>
    <w:lvlOverride w:ilvl="8">
      <w:lvl w:ilvl="8">
        <w:start w:val="1"/>
        <w:numFmt w:val="bullet"/>
        <w:lvlText w:val="▪"/>
        <w:lvlJc w:val="left"/>
        <w:pPr>
          <w:ind w:left="3600" w:hanging="360"/>
        </w:pPr>
        <w:rPr>
          <w:rFonts w:ascii="OpenSymbol" w:hAnsi="OpenSymbol" w:cs="OpenSymbol" w:hint="default"/>
          <w:rFonts w:cs="OpenSymbol, 'Arial Unicode MS'"/>
        </w:rPr>
      </w:lvl>
    </w:lvlOverride>
  </w:num>
  <w:num w:numId="12">
    <w:abstractNumId w:val="4"/>
    <w:lvlOverride w:ilvl="0">
      <w:lvl w:ilvl="0">
        <w:start w:val="3"/>
        <w:numFmt w:val="decimal"/>
        <w:lvlText w:val="%1)"/>
        <w:lvlJc w:val="left"/>
        <w:pPr>
          <w:ind w:left="720" w:hanging="360"/>
        </w:pPr>
        <w:rPr>
          <w:rFonts w:cs="Arial"/>
        </w:rPr>
      </w:lvl>
    </w:lvlOverride>
  </w:num>
  <w:num w:numId="13">
    <w:abstractNumId w:val="5"/>
    <w:lvlOverride w:ilvl="0">
      <w:lvl w:ilvl="0">
        <w:start w:val="1"/>
        <w:numFmt w:val="decimal"/>
        <w:lvlText w:val="%1."/>
        <w:lvlJc w:val="left"/>
        <w:pPr>
          <w:ind w:left="720" w:hanging="360"/>
        </w:pPr>
        <w:rPr>
          <w:sz w:val="22"/>
          <w:szCs w:val="22"/>
          <w:rFonts w:cs="Arial"/>
          <w:lang w:val="it-IT"/>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2"/>
      <w:sz w:val="24"/>
      <w:szCs w:val="24"/>
      <w:lang w:val="it-IT" w:eastAsia="zh-CN" w:bidi="hi-IN"/>
    </w:rPr>
  </w:style>
  <w:style w:type="paragraph" w:styleId="Titolo2">
    <w:name w:val="Heading 2"/>
    <w:basedOn w:val="Standard"/>
    <w:next w:val="Textbody"/>
    <w:uiPriority w:val="9"/>
    <w:semiHidden/>
    <w:unhideWhenUsed/>
    <w:qFormat/>
    <w:pPr>
      <w:spacing w:before="280" w:after="280"/>
      <w:outlineLvl w:val="1"/>
    </w:pPr>
    <w:rPr>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Arial"/>
    </w:rPr>
  </w:style>
  <w:style w:type="character" w:styleId="WW8Num3z0" w:customStyle="1">
    <w:name w:val="WW8Num3z0"/>
    <w:qFormat/>
    <w:rPr>
      <w:rFonts w:ascii="Arial" w:hAnsi="Arial" w:eastAsia="Arial" w:cs="Arial"/>
      <w:sz w:val="22"/>
      <w:szCs w:val="22"/>
      <w:lang w:val="it-IT"/>
    </w:rPr>
  </w:style>
  <w:style w:type="character" w:styleId="WW8Num4z0" w:customStyle="1">
    <w:name w:val="WW8Num4z0"/>
    <w:qFormat/>
    <w:rPr>
      <w:rFonts w:ascii="Symbol" w:hAnsi="Symbol" w:eastAsia="Symbol" w:cs="OpenSymbol, 'Arial Unicode MS'"/>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Carpredefinitoparagrafo2" w:customStyle="1">
    <w:name w:val="Car. predefinito paragrafo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Times New Roman" w:hAnsi="Times New Roman" w:eastAsia="Times New Roman" w:cs="Times New Roman"/>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6z3" w:customStyle="1">
    <w:name w:val="WW8Num6z3"/>
    <w:qFormat/>
    <w:rPr>
      <w:rFonts w:ascii="Symbol" w:hAnsi="Symbol" w:eastAsia="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eastAsia="Symbol" w:cs="Symbo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Symbol" w:cs="Symbol"/>
    </w:rPr>
  </w:style>
  <w:style w:type="character" w:styleId="WW8Num12z1" w:customStyle="1">
    <w:name w:val="WW8Num12z1"/>
    <w:qFormat/>
    <w:rPr>
      <w:rFonts w:ascii="Courier New" w:hAnsi="Courier New" w:eastAsia="Courier New" w:cs="Courier New"/>
    </w:rPr>
  </w:style>
  <w:style w:type="character" w:styleId="WW8Num12z2" w:customStyle="1">
    <w:name w:val="WW8Num12z2"/>
    <w:qFormat/>
    <w:rPr>
      <w:rFonts w:ascii="Wingdings" w:hAnsi="Wingdings" w:eastAsia="Wingdings" w:cs="Wingdings"/>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Calibri" w:hAnsi="Calibri" w:eastAsia="Times New Roman" w:cs="Times New Roman"/>
    </w:rPr>
  </w:style>
  <w:style w:type="character" w:styleId="WW8Num14z1" w:customStyle="1">
    <w:name w:val="WW8Num14z1"/>
    <w:qFormat/>
    <w:rPr>
      <w:rFonts w:ascii="Courier New" w:hAnsi="Courier New" w:eastAsia="Courier New" w:cs="Courier New"/>
    </w:rPr>
  </w:style>
  <w:style w:type="character" w:styleId="WW8Num14z2" w:customStyle="1">
    <w:name w:val="WW8Num14z2"/>
    <w:qFormat/>
    <w:rPr>
      <w:rFonts w:ascii="Wingdings" w:hAnsi="Wingdings" w:eastAsia="Wingdings" w:cs="Wingdings"/>
    </w:rPr>
  </w:style>
  <w:style w:type="character" w:styleId="WW8Num14z3" w:customStyle="1">
    <w:name w:val="WW8Num14z3"/>
    <w:qFormat/>
    <w:rPr>
      <w:rFonts w:ascii="Symbol" w:hAnsi="Symbol" w:eastAsia="Symbol" w:cs="Symbol"/>
    </w:rPr>
  </w:style>
  <w:style w:type="character" w:styleId="WW8Num15z0" w:customStyle="1">
    <w:name w:val="WW8Num15z0"/>
    <w:qFormat/>
    <w:rPr>
      <w:rFonts w:ascii="Symbol" w:hAnsi="Symbol" w:eastAsia="Symbol" w:cs="Symbol"/>
    </w:rPr>
  </w:style>
  <w:style w:type="character" w:styleId="WW8Num15z1" w:customStyle="1">
    <w:name w:val="WW8Num15z1"/>
    <w:qFormat/>
    <w:rPr>
      <w:rFonts w:ascii="Courier New" w:hAnsi="Courier New" w:eastAsia="Courier New" w:cs="Courier New"/>
    </w:rPr>
  </w:style>
  <w:style w:type="character" w:styleId="WW8Num15z2" w:customStyle="1">
    <w:name w:val="WW8Num15z2"/>
    <w:qFormat/>
    <w:rPr>
      <w:rFonts w:ascii="Wingdings" w:hAnsi="Wingdings" w:eastAsia="Wingdings" w:cs="Wingdings"/>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Symbol" w:hAnsi="Symbol" w:eastAsia="Symbol" w:cs="Symbol"/>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cs="Arial"/>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Arial" w:hAnsi="Arial" w:eastAsia="Arial" w:cs="Arial"/>
      <w:sz w:val="22"/>
      <w:szCs w:val="22"/>
      <w:lang w:val="it-I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Carpredefinitoparagrafo1" w:customStyle="1">
    <w:name w:val="Car. predefinito paragrafo1"/>
    <w:qFormat/>
    <w:rPr/>
  </w:style>
  <w:style w:type="character" w:styleId="CollegamentoInternet" w:customStyle="1">
    <w:name w:val="Collegamento Internet"/>
    <w:qFormat/>
    <w:rPr>
      <w:color w:val="000080"/>
      <w:u w:val="single"/>
      <w:lang w:val="zxx" w:eastAsia="zxx" w:bidi="zxx"/>
    </w:rPr>
  </w:style>
  <w:style w:type="character" w:styleId="Xa1" w:customStyle="1">
    <w:name w:val="xa1"/>
    <w:qFormat/>
    <w:rPr>
      <w:b/>
      <w:bCs/>
      <w:sz w:val="26"/>
      <w:szCs w:val="26"/>
    </w:rPr>
  </w:style>
  <w:style w:type="character" w:styleId="Carpredefinitoparagrafo6" w:customStyle="1">
    <w:name w:val="Car. predefinito paragrafo6"/>
    <w:qFormat/>
    <w:rPr/>
  </w:style>
  <w:style w:type="character" w:styleId="Pagenumber">
    <w:name w:val="page number"/>
    <w:basedOn w:val="Carpredefinitoparagrafo1"/>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aratteridinumerazione" w:customStyle="1">
    <w:name w:val="Caratteri di numerazione"/>
    <w:qFormat/>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eastAsia="Courier New" w:cs="Courier New"/>
      <w:sz w:val="20"/>
    </w:rPr>
  </w:style>
  <w:style w:type="character" w:styleId="Strong">
    <w:name w:val="Strong"/>
    <w:qFormat/>
    <w:rPr>
      <w:b/>
    </w:rPr>
  </w:style>
  <w:style w:type="character" w:styleId="Sample" w:customStyle="1">
    <w:name w:val="Sample"/>
    <w:qFormat/>
    <w:rPr>
      <w:rFonts w:ascii="Courier New" w:hAnsi="Courier New" w:eastAsia="Courier New" w:cs="Courier New"/>
    </w:rPr>
  </w:style>
  <w:style w:type="character" w:styleId="Keyboard" w:customStyle="1">
    <w:name w:val="Keyboard"/>
    <w:qFormat/>
    <w:rPr>
      <w:rFonts w:ascii="Courier New" w:hAnsi="Courier New" w:eastAsia="Courier New" w:cs="Courier New"/>
      <w:b/>
      <w:sz w:val="20"/>
    </w:rPr>
  </w:style>
  <w:style w:type="character" w:styleId="CODE" w:customStyle="1">
    <w:name w:val="CODE"/>
    <w:qFormat/>
    <w:rPr>
      <w:rFonts w:ascii="Courier New" w:hAnsi="Courier New" w:eastAsia="Courier New" w:cs="Courier New"/>
      <w:sz w:val="20"/>
    </w:rPr>
  </w:style>
  <w:style w:type="character" w:styleId="CITE" w:customStyle="1">
    <w:name w:val="CITE"/>
    <w:qFormat/>
    <w:rPr>
      <w:i/>
    </w:rPr>
  </w:style>
  <w:style w:type="paragraph" w:styleId="Titolo" w:customStyle="1">
    <w:name w:val="Titolo"/>
    <w:basedOn w:val="Standard"/>
    <w:next w:val="Textbody"/>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Standard"/>
    <w:qFormat/>
    <w:pPr>
      <w:suppressLineNumbers/>
    </w:pPr>
    <w:rPr>
      <w:rFonts w:cs="Mangal"/>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Liberation Serif"/>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rFonts w:cs="Mangal"/>
      <w:i/>
      <w:iCs/>
    </w:rPr>
  </w:style>
  <w:style w:type="paragraph" w:styleId="Titolo21" w:customStyle="1">
    <w:name w:val="Titolo2"/>
    <w:basedOn w:val="Standard"/>
    <w:next w:val="Textbody"/>
    <w:qFormat/>
    <w:pPr>
      <w:keepNext w:val="true"/>
      <w:spacing w:before="240" w:after="120"/>
    </w:pPr>
    <w:rPr>
      <w:rFonts w:ascii="Liberation Sans" w:hAnsi="Liberation Sans" w:eastAsia="Microsoft YaHei" w:cs="Mangal"/>
      <w:sz w:val="28"/>
      <w:szCs w:val="28"/>
    </w:rPr>
  </w:style>
  <w:style w:type="paragraph" w:styleId="Titolo1" w:customStyle="1">
    <w:name w:val="Titolo1"/>
    <w:basedOn w:val="Standard"/>
    <w:next w:val="Textbody"/>
    <w:qFormat/>
    <w:pPr>
      <w:keepNext w:val="true"/>
      <w:spacing w:before="240" w:after="120"/>
    </w:pPr>
    <w:rPr>
      <w:rFonts w:ascii="Liberation Sans" w:hAnsi="Liberation Sans" w:eastAsia="Microsoft YaHei" w:cs="Mangal"/>
      <w:sz w:val="28"/>
      <w:szCs w:val="28"/>
    </w:rPr>
  </w:style>
  <w:style w:type="paragraph" w:styleId="BalloonText">
    <w:name w:val="Balloon Text"/>
    <w:basedOn w:val="Standard"/>
    <w:qFormat/>
    <w:pPr/>
    <w:rPr>
      <w:rFonts w:ascii="Tahoma" w:hAnsi="Tahoma" w:eastAsia="Tahoma" w:cs="Tahoma"/>
      <w:sz w:val="16"/>
      <w:szCs w:val="16"/>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2"/>
      <w:sz w:val="20"/>
      <w:szCs w:val="20"/>
      <w:lang w:val="it-IT" w:eastAsia="zh-CN" w:bidi="ar-S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tabs>
        <w:tab w:val="clear" w:pos="720"/>
        <w:tab w:val="center" w:pos="4819" w:leader="none"/>
        <w:tab w:val="right" w:pos="9638" w:leader="none"/>
      </w:tabs>
    </w:pPr>
    <w:rPr/>
  </w:style>
  <w:style w:type="paragraph" w:styleId="Pidipagina">
    <w:name w:val="Footer"/>
    <w:basedOn w:val="Standard"/>
    <w:pPr>
      <w:tabs>
        <w:tab w:val="clear" w:pos="720"/>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it-IT" w:eastAsia="zh-CN" w:bidi="ar-SA"/>
    </w:rPr>
  </w:style>
  <w:style w:type="paragraph" w:styleId="Normale1" w:customStyle="1">
    <w:name w:val="Normale1"/>
    <w:qFormat/>
    <w:pPr>
      <w:widowControl/>
      <w:suppressAutoHyphens w:val="true"/>
      <w:bidi w:val="0"/>
      <w:spacing w:lineRule="atLeast" w:line="100" w:before="0" w:after="0"/>
      <w:jc w:val="left"/>
      <w:textAlignment w:val="baseline"/>
    </w:pPr>
    <w:rPr>
      <w:rFonts w:ascii="Times New Roman" w:hAnsi="Times New Roman" w:eastAsia="Times New Roman" w:cs="Times New Roman"/>
      <w:color w:val="auto"/>
      <w:kern w:val="2"/>
      <w:sz w:val="20"/>
      <w:szCs w:val="20"/>
      <w:lang w:val="it-IT" w:eastAsia="zh-CN" w:bidi="ar-SA"/>
    </w:rPr>
  </w:style>
  <w:style w:type="paragraph" w:styleId="NormalWeb">
    <w:name w:val="Normal (Web)"/>
    <w:basedOn w:val="Standard"/>
    <w:qFormat/>
    <w:pPr>
      <w:spacing w:before="100" w:after="119"/>
      <w:textAlignment w:val="auto"/>
    </w:pPr>
    <w:rPr/>
  </w:style>
  <w:style w:type="paragraph" w:styleId="ListParagraph">
    <w:name w:val="List Paragraph"/>
    <w:basedOn w:val="Standard"/>
    <w:qFormat/>
    <w:pPr>
      <w:ind w:left="720" w:hanging="0"/>
    </w:pPr>
    <w:rPr>
      <w:rFonts w:cs="Mangal"/>
      <w:szCs w:val="21"/>
    </w:rPr>
  </w:style>
  <w:style w:type="paragraph" w:styleId="Sche3" w:customStyle="1">
    <w:name w:val="sche_3"/>
    <w:qFormat/>
    <w:pPr>
      <w:widowControl/>
      <w:suppressAutoHyphens w:val="true"/>
      <w:bidi w:val="0"/>
      <w:spacing w:before="0" w:after="0"/>
      <w:jc w:val="both"/>
      <w:textAlignment w:val="baseline"/>
    </w:pPr>
    <w:rPr>
      <w:rFonts w:ascii="Times New Roman" w:hAnsi="Times New Roman" w:eastAsia="Arial" w:cs="Times New Roman"/>
      <w:color w:val="auto"/>
      <w:kern w:val="2"/>
      <w:sz w:val="20"/>
      <w:szCs w:val="20"/>
      <w:lang w:val="en-US" w:eastAsia="zh-CN" w:bidi="ar-SA"/>
    </w:rPr>
  </w:style>
  <w:style w:type="paragraph" w:styleId="Contenutocornice" w:customStyle="1">
    <w:name w:val="Contenuto cornice"/>
    <w:basedOn w:val="Standard"/>
    <w:qFormat/>
    <w:pPr/>
    <w:rPr/>
  </w:style>
  <w:style w:type="paragraph" w:styleId="BodyText2">
    <w:name w:val="Body Text 2"/>
    <w:basedOn w:val="Standard"/>
    <w:qFormat/>
    <w:pPr>
      <w:jc w:val="both"/>
    </w:pPr>
    <w:rPr>
      <w:szCs w:val="20"/>
    </w:rPr>
  </w:style>
  <w:style w:type="paragraph" w:styleId="ZTopofForm" w:customStyle="1">
    <w:name w:val="z-Top of Form"/>
    <w:qFormat/>
    <w:pPr>
      <w:widowControl w:val="false"/>
      <w:suppressAutoHyphens w:val="true"/>
      <w:bidi w:val="0"/>
      <w:spacing w:before="0" w:after="0"/>
      <w:jc w:val="center"/>
      <w:textAlignment w:val="baseline"/>
    </w:pPr>
    <w:rPr>
      <w:rFonts w:ascii="Arial" w:hAnsi="Arial" w:eastAsia="Courier New" w:cs="Liberation Serif"/>
      <w:vanish/>
      <w:color w:val="auto"/>
      <w:kern w:val="2"/>
      <w:sz w:val="16"/>
      <w:szCs w:val="24"/>
      <w:lang w:val="it-IT" w:eastAsia="hi-IN" w:bidi="hi-IN"/>
    </w:rPr>
  </w:style>
  <w:style w:type="paragraph" w:styleId="ZBottomofForm" w:customStyle="1">
    <w:name w:val="z-Bottom of Form"/>
    <w:qFormat/>
    <w:pPr>
      <w:widowControl w:val="false"/>
      <w:pBdr>
        <w:top w:val="double" w:sz="2" w:space="0" w:color="000000"/>
        <w:left w:val="double" w:sz="2" w:space="0" w:color="000000"/>
        <w:bottom w:val="double" w:sz="2" w:space="0" w:color="000000"/>
        <w:right w:val="double" w:sz="2" w:space="0" w:color="000000"/>
      </w:pBdr>
      <w:suppressAutoHyphens w:val="true"/>
      <w:bidi w:val="0"/>
      <w:spacing w:before="0" w:after="0"/>
      <w:jc w:val="center"/>
      <w:textAlignment w:val="baseline"/>
    </w:pPr>
    <w:rPr>
      <w:rFonts w:ascii="Arial" w:hAnsi="Arial" w:eastAsia="Courier New" w:cs="Liberation Serif"/>
      <w:vanish/>
      <w:color w:val="auto"/>
      <w:kern w:val="2"/>
      <w:sz w:val="16"/>
      <w:szCs w:val="24"/>
      <w:lang w:val="it-IT" w:eastAsia="hi-IN" w:bidi="hi-IN"/>
    </w:rPr>
  </w:style>
  <w:style w:type="paragraph" w:styleId="Preformatted" w:customStyle="1">
    <w:name w:val="Preformatted"/>
    <w:basedOn w:val="Standard"/>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rPr>
  </w:style>
  <w:style w:type="paragraph" w:styleId="Blockquote" w:customStyle="1">
    <w:name w:val="Blockquote"/>
    <w:basedOn w:val="Standard"/>
    <w:qFormat/>
    <w:pPr>
      <w:spacing w:before="100" w:after="100"/>
      <w:ind w:left="360" w:right="360" w:hanging="0"/>
    </w:pPr>
    <w:rPr/>
  </w:style>
  <w:style w:type="paragraph" w:styleId="Address" w:customStyle="1">
    <w:name w:val="Address"/>
    <w:basedOn w:val="Standard"/>
    <w:qFormat/>
    <w:pPr/>
    <w:rPr>
      <w:i/>
    </w:rPr>
  </w:style>
  <w:style w:type="paragraph" w:styleId="H6" w:customStyle="1">
    <w:name w:val="H6"/>
    <w:basedOn w:val="Standard"/>
    <w:qFormat/>
    <w:pPr>
      <w:keepNext w:val="true"/>
      <w:spacing w:before="100" w:after="100"/>
    </w:pPr>
    <w:rPr>
      <w:b/>
      <w:sz w:val="16"/>
    </w:rPr>
  </w:style>
  <w:style w:type="paragraph" w:styleId="H5" w:customStyle="1">
    <w:name w:val="H5"/>
    <w:basedOn w:val="Standard"/>
    <w:qFormat/>
    <w:pPr>
      <w:keepNext w:val="true"/>
      <w:spacing w:before="100" w:after="100"/>
    </w:pPr>
    <w:rPr>
      <w:b/>
    </w:rPr>
  </w:style>
  <w:style w:type="paragraph" w:styleId="H4" w:customStyle="1">
    <w:name w:val="H4"/>
    <w:basedOn w:val="Standard"/>
    <w:qFormat/>
    <w:pPr>
      <w:keepNext w:val="true"/>
      <w:spacing w:before="100" w:after="100"/>
    </w:pPr>
    <w:rPr>
      <w:b/>
    </w:rPr>
  </w:style>
  <w:style w:type="paragraph" w:styleId="H3" w:customStyle="1">
    <w:name w:val="H3"/>
    <w:basedOn w:val="Standard"/>
    <w:qFormat/>
    <w:pPr>
      <w:keepNext w:val="true"/>
      <w:spacing w:before="100" w:after="100"/>
    </w:pPr>
    <w:rPr>
      <w:b/>
      <w:sz w:val="28"/>
    </w:rPr>
  </w:style>
  <w:style w:type="paragraph" w:styleId="H2" w:customStyle="1">
    <w:name w:val="H2"/>
    <w:basedOn w:val="Standard"/>
    <w:qFormat/>
    <w:pPr>
      <w:keepNext w:val="true"/>
      <w:spacing w:before="100" w:after="100"/>
    </w:pPr>
    <w:rPr>
      <w:b/>
      <w:sz w:val="36"/>
    </w:rPr>
  </w:style>
  <w:style w:type="paragraph" w:styleId="H1" w:customStyle="1">
    <w:name w:val="H1"/>
    <w:basedOn w:val="Standard"/>
    <w:qFormat/>
    <w:pPr>
      <w:keepNext w:val="true"/>
      <w:spacing w:before="100" w:after="100"/>
    </w:pPr>
    <w:rPr>
      <w:b/>
      <w:sz w:val="48"/>
    </w:rPr>
  </w:style>
  <w:style w:type="paragraph" w:styleId="DefinitionList" w:customStyle="1">
    <w:name w:val="Definition List"/>
    <w:basedOn w:val="Standard"/>
    <w:qFormat/>
    <w:pPr>
      <w:ind w:left="360" w:hanging="0"/>
    </w:pPr>
    <w:rPr/>
  </w:style>
  <w:style w:type="paragraph" w:styleId="DefinitionTerm" w:customStyle="1">
    <w:name w:val="Definition Term"/>
    <w:basedOn w:val="Standard"/>
    <w:qFormat/>
    <w:pPr/>
    <w:rPr/>
  </w:style>
  <w:style w:type="paragraph" w:styleId="Provpcelencopunto" w:customStyle="1">
    <w:name w:val="provpc_elenco_punto"/>
    <w:qFormat/>
    <w:pPr>
      <w:widowControl w:val="false"/>
      <w:suppressAutoHyphens w:val="true"/>
      <w:bidi w:val="0"/>
      <w:spacing w:lineRule="auto" w:line="360" w:before="0" w:after="0"/>
      <w:jc w:val="both"/>
      <w:textAlignment w:val="baseline"/>
    </w:pPr>
    <w:rPr>
      <w:rFonts w:ascii="Tahoma" w:hAnsi="Tahoma" w:eastAsia="Tahoma" w:cs="Tahoma"/>
      <w:color w:val="auto"/>
      <w:kern w:val="2"/>
      <w:sz w:val="24"/>
      <w:szCs w:val="24"/>
      <w:lang w:val="it-IT" w:eastAsia="zh-CN" w:bidi="hi-IN"/>
    </w:rPr>
  </w:style>
  <w:style w:type="paragraph" w:styleId="Provelenconum1" w:customStyle="1">
    <w:name w:val="prov_elenco_num1"/>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elenconum" w:customStyle="1">
    <w:name w:val="prov_elenco_num"/>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elencoabc" w:customStyle="1">
    <w:name w:val="prov_elenco_abc"/>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firma" w:customStyle="1">
    <w:name w:val="prov_firma"/>
    <w:qFormat/>
    <w:pPr>
      <w:widowControl w:val="false"/>
      <w:suppressAutoHyphens w:val="true"/>
      <w:bidi w:val="0"/>
      <w:spacing w:before="0" w:after="0"/>
      <w:ind w:left="5102" w:hanging="0"/>
      <w:jc w:val="center"/>
      <w:textAlignment w:val="baseline"/>
    </w:pPr>
    <w:rPr>
      <w:rFonts w:ascii="Tahoma" w:hAnsi="Tahoma" w:eastAsia="Tahoma" w:cs="Tahoma"/>
      <w:b/>
      <w:color w:val="auto"/>
      <w:kern w:val="2"/>
      <w:sz w:val="22"/>
      <w:szCs w:val="24"/>
      <w:lang w:val="it-IT" w:eastAsia="zh-CN" w:bidi="hi-IN"/>
    </w:rPr>
  </w:style>
  <w:style w:type="paragraph" w:styleId="Provtitolo" w:customStyle="1">
    <w:name w:val="prov_titolo"/>
    <w:qFormat/>
    <w:pPr>
      <w:widowControl w:val="false"/>
      <w:suppressAutoHyphens w:val="true"/>
      <w:bidi w:val="0"/>
      <w:spacing w:before="0" w:after="120"/>
      <w:jc w:val="center"/>
      <w:textAlignment w:val="baseline"/>
    </w:pPr>
    <w:rPr>
      <w:rFonts w:ascii="Tahoma" w:hAnsi="Tahoma" w:eastAsia="Tahoma" w:cs="Tahoma"/>
      <w:b/>
      <w:color w:val="auto"/>
      <w:kern w:val="2"/>
      <w:sz w:val="22"/>
      <w:szCs w:val="24"/>
      <w:lang w:val="it-IT" w:eastAsia="zh-CN" w:bidi="hi-IN"/>
    </w:rPr>
  </w:style>
  <w:style w:type="paragraph" w:styleId="Provcorpotesto" w:customStyle="1">
    <w:name w:val="prov_corpo_testo"/>
    <w:qFormat/>
    <w:pPr>
      <w:widowControl w:val="false"/>
      <w:suppressAutoHyphens w:val="true"/>
      <w:bidi w:val="0"/>
      <w:spacing w:lineRule="auto" w:line="360" w:before="0" w:after="0"/>
      <w:jc w:val="both"/>
      <w:textAlignment w:val="baseline"/>
    </w:pPr>
    <w:rPr>
      <w:rFonts w:ascii="Tahoma" w:hAnsi="Tahoma" w:eastAsia="Tahoma" w:cs="Tahoma"/>
      <w:bCs/>
      <w:color w:val="auto"/>
      <w:kern w:val="2"/>
      <w:sz w:val="24"/>
      <w:szCs w:val="24"/>
      <w:lang w:val="it-IT" w:eastAsia="zh-CN" w:bidi="hi-IN"/>
    </w:rPr>
  </w:style>
  <w:style w:type="paragraph" w:styleId="Provdirigente" w:customStyle="1">
    <w:name w:val="prov_dirigente"/>
    <w:qFormat/>
    <w:pPr>
      <w:widowControl w:val="false"/>
      <w:suppressAutoHyphens w:val="true"/>
      <w:bidi w:val="0"/>
      <w:spacing w:before="0" w:after="0"/>
      <w:jc w:val="center"/>
      <w:textAlignment w:val="baseline"/>
    </w:pPr>
    <w:rPr>
      <w:rFonts w:ascii="Tahoma" w:hAnsi="Tahoma" w:eastAsia="Times New Roman" w:cs="Tahoma"/>
      <w:b/>
      <w:bCs/>
      <w:color w:val="auto"/>
      <w:kern w:val="2"/>
      <w:sz w:val="22"/>
      <w:szCs w:val="22"/>
      <w:lang w:val="it-IT" w:eastAsia="zh-CN" w:bidi="hi-IN"/>
    </w:rPr>
  </w:style>
  <w:style w:type="paragraph" w:styleId="Provoggetto" w:customStyle="1">
    <w:name w:val="prov_oggetto"/>
    <w:qFormat/>
    <w:pPr>
      <w:widowControl w:val="false"/>
      <w:suppressAutoHyphens w:val="true"/>
      <w:bidi w:val="0"/>
      <w:spacing w:before="0" w:after="0"/>
      <w:jc w:val="left"/>
      <w:textAlignment w:val="baseline"/>
    </w:pPr>
    <w:rPr>
      <w:rFonts w:ascii="Tahoma" w:hAnsi="Tahoma" w:eastAsia="Times New Roman" w:cs="Tahoma"/>
      <w:b/>
      <w:bCs/>
      <w:color w:val="auto"/>
      <w:kern w:val="2"/>
      <w:sz w:val="24"/>
      <w:szCs w:val="20"/>
      <w:lang w:val="it-IT" w:eastAsia="zh-CN" w:bidi="hi-IN"/>
    </w:rPr>
  </w:style>
  <w:style w:type="paragraph" w:styleId="Provdetermina" w:customStyle="1">
    <w:name w:val="prov_determina"/>
    <w:qFormat/>
    <w:pPr>
      <w:widowControl w:val="false"/>
      <w:suppressAutoHyphens w:val="true"/>
      <w:bidi w:val="0"/>
      <w:spacing w:before="0" w:after="0"/>
      <w:jc w:val="left"/>
      <w:textAlignment w:val="baseline"/>
    </w:pPr>
    <w:rPr>
      <w:rFonts w:ascii="Tahoma" w:hAnsi="Tahoma" w:eastAsia="Times New Roman" w:cs="Tahoma"/>
      <w:b/>
      <w:bCs/>
      <w:color w:val="auto"/>
      <w:kern w:val="2"/>
      <w:sz w:val="18"/>
      <w:szCs w:val="18"/>
      <w:lang w:val="it-IT" w:eastAsia="zh-CN" w:bidi="hi-IN"/>
    </w:rPr>
  </w:style>
  <w:style w:type="paragraph" w:styleId="Provproposta" w:customStyle="1">
    <w:name w:val="prov_proposta"/>
    <w:qFormat/>
    <w:pPr>
      <w:widowControl w:val="false"/>
      <w:suppressAutoHyphens w:val="true"/>
      <w:bidi w:val="0"/>
      <w:spacing w:before="0" w:after="0"/>
      <w:jc w:val="left"/>
      <w:textAlignment w:val="baseline"/>
    </w:pPr>
    <w:rPr>
      <w:rFonts w:ascii="Tahoma" w:hAnsi="Tahoma" w:eastAsia="Times New Roman" w:cs="Tahoma"/>
      <w:color w:val="auto"/>
      <w:kern w:val="2"/>
      <w:sz w:val="18"/>
      <w:szCs w:val="18"/>
      <w:lang w:val="it-IT" w:eastAsia="zh-CN" w:bidi="hi-IN"/>
    </w:rPr>
  </w:style>
  <w:style w:type="paragraph" w:styleId="Provs04" w:customStyle="1">
    <w:name w:val="prov_s04"/>
    <w:qFormat/>
    <w:pPr>
      <w:widowControl w:val="false"/>
      <w:suppressAutoHyphens w:val="true"/>
      <w:bidi w:val="0"/>
      <w:spacing w:before="0" w:after="0"/>
      <w:jc w:val="center"/>
      <w:textAlignment w:val="baseline"/>
    </w:pPr>
    <w:rPr>
      <w:rFonts w:ascii="Tahoma" w:hAnsi="Tahoma" w:eastAsia="Times New Roman" w:cs="Tahoma"/>
      <w:b/>
      <w:bCs/>
      <w:color w:val="auto"/>
      <w:kern w:val="2"/>
      <w:sz w:val="24"/>
      <w:szCs w:val="24"/>
      <w:lang w:val="it-IT" w:eastAsia="zh-CN" w:bidi="hi-IN"/>
    </w:rPr>
  </w:style>
  <w:style w:type="paragraph" w:styleId="Provfin" w:customStyle="1">
    <w:name w:val="prov_fin"/>
    <w:qFormat/>
    <w:pPr>
      <w:widowControl w:val="false"/>
      <w:tabs>
        <w:tab w:val="clear" w:pos="720"/>
        <w:tab w:val="left" w:pos="3060" w:leader="none"/>
        <w:tab w:val="right" w:pos="3780" w:leader="none"/>
        <w:tab w:val="center" w:pos="4819" w:leader="none"/>
      </w:tabs>
      <w:suppressAutoHyphens w:val="true"/>
      <w:bidi w:val="0"/>
      <w:spacing w:before="0" w:after="0"/>
      <w:ind w:right="5858" w:hanging="0"/>
      <w:jc w:val="left"/>
      <w:textAlignment w:val="baseline"/>
    </w:pPr>
    <w:rPr>
      <w:rFonts w:ascii="Tahoma" w:hAnsi="Tahoma" w:eastAsia="Times New Roman" w:cs="Tahoma"/>
      <w:b/>
      <w:bCs/>
      <w:color w:val="auto"/>
      <w:kern w:val="2"/>
      <w:sz w:val="24"/>
      <w:szCs w:val="24"/>
      <w:u w:val="single"/>
      <w:lang w:val="it-IT" w:eastAsia="zh-CN" w:bidi="hi-IN"/>
    </w:rPr>
  </w:style>
  <w:style w:type="paragraph" w:styleId="Provelencotrattino" w:customStyle="1">
    <w:name w:val="prov_elenco_trattino"/>
    <w:qFormat/>
    <w:pPr>
      <w:widowControl w:val="false"/>
      <w:suppressAutoHyphens w:val="true"/>
      <w:bidi w:val="0"/>
      <w:spacing w:lineRule="auto" w:line="360" w:before="0" w:after="0"/>
      <w:jc w:val="both"/>
      <w:textAlignment w:val="baseline"/>
    </w:pPr>
    <w:rPr>
      <w:rFonts w:ascii="Tahoma" w:hAnsi="Tahoma" w:eastAsia="Tahoma" w:cs="Tahoma"/>
      <w:color w:val="auto"/>
      <w:kern w:val="2"/>
      <w:sz w:val="24"/>
      <w:szCs w:val="24"/>
      <w:lang w:val="it-IT" w:eastAsia="zh-CN" w:bidi="hi-IN"/>
    </w:rPr>
  </w:style>
  <w:style w:type="paragraph" w:styleId="Provintestazione" w:customStyle="1">
    <w:name w:val="prov_intestazione"/>
    <w:qFormat/>
    <w:pPr>
      <w:widowControl w:val="false"/>
      <w:suppressAutoHyphens w:val="true"/>
      <w:bidi w:val="0"/>
      <w:spacing w:before="0" w:after="0"/>
      <w:jc w:val="left"/>
      <w:textAlignment w:val="baseline"/>
    </w:pPr>
    <w:rPr>
      <w:rFonts w:ascii="Tahoma" w:hAnsi="Tahoma" w:eastAsia="Mangal" w:cs="Tahoma"/>
      <w:b/>
      <w:caps/>
      <w:color w:val="auto"/>
      <w:kern w:val="2"/>
      <w:sz w:val="20"/>
      <w:szCs w:val="24"/>
      <w:lang w:val="it-IT" w:eastAsia="hi-IN"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postacert.provincia.parma.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13132</TotalTime>
  <Application>LibreOffice/6.4.4.2$Windows_X86_64 LibreOffice_project/3d775be2011f3886db32dfd395a6a6d1ca2630ff</Application>
  <Pages>5</Pages>
  <Words>1857</Words>
  <Characters>11060</Characters>
  <CharactersWithSpaces>12913</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2022-12-19T10:28:00Z</dcterms:created>
  <dc:creator>Ingg. B. Targon &amp; M. Ghizzoni</dc:creator>
  <dc:description/>
  <dc:language>it-IT</dc:language>
  <cp:lastModifiedBy/>
  <cp:lastPrinted>1995-11-21T17:41:00Z</cp:lastPrinted>
  <dcterms:modified xsi:type="dcterms:W3CDTF">2022-12-28T16:43:46Z</dcterms:modified>
  <cp:revision>6</cp:revision>
  <dc:subject/>
  <dc:title>Spett.le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SingleXMLDocument_count">
    <vt:i4>0</vt:i4>
  </property>
</Properties>
</file>