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D99F19000030003</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miglioramento sismico Liceo Marconi via Gioia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4FCABF80" w:rsidR="00302F35" w:rsidRPr="00EB377B" w:rsidRDefault="00BE056D"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3180C27B" w:rsidR="00FF03C6" w:rsidRDefault="003F5A35" w:rsidP="00E755D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€ 800.000,00</w:t>
            </w:r>
            <w:r w:rsidR="00E404A3" w:rsidRPr="00F53579">
              <w:rPr>
                <w:rFonts w:ascii="Garamond" w:eastAsia="Times New Roman" w:hAnsi="Garamond" w:cstheme="minorHAnsi"/>
                <w:lang w:eastAsia="it-IT"/>
              </w:rPr>
              <w:t xml:space="preserve"> di cui IVA € </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7E32E900" w:rsidR="00FF03C6" w:rsidRDefault="003F5A35" w:rsidP="00E755D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€ 800.000,00 </w:t>
            </w:r>
            <w:r w:rsidR="00E404A3" w:rsidRPr="00F53579">
              <w:rPr>
                <w:rFonts w:ascii="Garamond" w:eastAsia="Times New Roman" w:hAnsi="Garamond" w:cstheme="minorHAnsi"/>
                <w:lang w:eastAsia="it-IT"/>
              </w:rPr>
              <w:t xml:space="preserve">di cui IVA € </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50DB0D4D" w14:textId="288C10FD" w:rsidR="00FF03C6" w:rsidRDefault="008E76B0"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FF03C6">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2E2AB9EA" w:rsidR="00FF03C6" w:rsidRDefault="008E76B0"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t>X</w:t>
            </w:r>
            <w:r w:rsidR="00FF03C6">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12233621" w:rsidR="00FF03C6" w:rsidRPr="00B15332" w:rsidRDefault="00BE056D" w:rsidP="00302F35">
            <w:pPr>
              <w:spacing w:after="0" w:line="240" w:lineRule="auto"/>
              <w:rPr>
                <w:rFonts w:ascii="Garamond" w:eastAsia="Times New Roman" w:hAnsi="Garamond" w:cstheme="minorHAnsi"/>
                <w:lang w:eastAsia="it-IT"/>
              </w:rPr>
            </w:pPr>
            <w:r w:rsidRPr="00BE056D">
              <w:rPr>
                <w:rFonts w:ascii="Garamond" w:eastAsia="Times New Roman" w:hAnsi="Garamond" w:cstheme="minorHAnsi"/>
                <w:highlight w:val="yellow"/>
                <w:lang w:eastAsia="it-IT"/>
              </w:rPr>
              <w:t>…………..</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777777" w:rsidR="00FF03C6" w:rsidRPr="00B15332" w:rsidRDefault="00FF03C6"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4A5E0E5E" w:rsidR="00FF03C6" w:rsidRPr="00EB377B"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13F58950" w:rsidR="00FF03C6" w:rsidRPr="00E34E66" w:rsidRDefault="00BE056D" w:rsidP="00003B4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Scuola Marconi di via Gioia Parma</w:t>
            </w:r>
          </w:p>
          <w:p w14:paraId="2C2B7A74" w14:textId="77777777" w:rsidR="00FF03C6" w:rsidRPr="00E34E66" w:rsidRDefault="00FF03C6" w:rsidP="00F436F9">
            <w:pPr>
              <w:spacing w:after="0" w:line="240" w:lineRule="auto"/>
              <w:rPr>
                <w:rFonts w:ascii="Garamond" w:eastAsia="Times New Roman" w:hAnsi="Garamond" w:cstheme="minorHAnsi"/>
                <w:highlight w:val="yellow"/>
                <w:lang w:eastAsia="it-IT"/>
              </w:rPr>
            </w:pP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381DD53E"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sidR="008E76B0">
              <w:rPr>
                <w:rFonts w:ascii="Garamond" w:eastAsia="Times New Roman" w:hAnsi="Garamond" w:cstheme="minorHAnsi"/>
                <w:lang w:eastAsia="it-IT"/>
              </w:rPr>
              <w:t>29/05/2023</w:t>
            </w:r>
            <w:r w:rsidRPr="00E63A46">
              <w:rPr>
                <w:rFonts w:ascii="Garamond" w:eastAsia="Times New Roman" w:hAnsi="Garamond" w:cstheme="minorHAnsi"/>
                <w:lang w:eastAsia="it-IT"/>
              </w:rPr>
              <w:t>]</w:t>
            </w:r>
          </w:p>
          <w:p w14:paraId="57DC20F2" w14:textId="177B2556"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sidR="008E76B0">
              <w:rPr>
                <w:rFonts w:ascii="Garamond" w:eastAsia="Times New Roman" w:hAnsi="Garamond" w:cstheme="minorHAnsi"/>
                <w:lang w:eastAsia="it-IT"/>
              </w:rPr>
              <w:t>01/07/2023</w:t>
            </w:r>
            <w:r w:rsidRPr="00E63A46">
              <w:rPr>
                <w:rFonts w:ascii="Garamond" w:eastAsia="Times New Roman" w:hAnsi="Garamond" w:cstheme="minorHAnsi"/>
                <w:lang w:eastAsia="it-IT"/>
              </w:rPr>
              <w:t>]</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34AE3423" w:rsidR="00FF03C6" w:rsidRPr="00B50AD7" w:rsidRDefault="003C263F" w:rsidP="00F436F9">
            <w:pPr>
              <w:spacing w:after="0" w:line="240" w:lineRule="auto"/>
              <w:rPr>
                <w:rFonts w:ascii="Garamond" w:eastAsia="Times New Roman" w:hAnsi="Garamond" w:cstheme="minorHAnsi"/>
                <w:lang w:eastAsia="it-IT"/>
              </w:rPr>
            </w:pPr>
            <w:r>
              <w:t xml:space="preserve">€ </w:t>
            </w:r>
            <w:r w:rsidR="008E76B0">
              <w:t>1500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2142BED"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sidR="008E76B0">
              <w:rPr>
                <w:rFonts w:ascii="Garamond" w:eastAsia="Times New Roman" w:hAnsi="Garamond" w:cstheme="minorHAnsi"/>
                <w:lang w:eastAsia="it-IT"/>
              </w:rPr>
              <w:t>X</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24C36DC0" w:rsidR="00E73F90"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E73F90">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217C6409" w:rsidR="006357F1" w:rsidRPr="00B50AD7"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Arch. Nicola Brigo</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52FE5EA5" w:rsidR="00E73F90" w:rsidRPr="00B50AD7" w:rsidRDefault="008E76B0" w:rsidP="00F436F9">
            <w:pPr>
              <w:spacing w:after="0" w:line="240" w:lineRule="auto"/>
              <w:rPr>
                <w:rFonts w:ascii="Garamond" w:eastAsia="Times New Roman" w:hAnsi="Garamond" w:cstheme="minorHAnsi"/>
                <w:lang w:eastAsia="it-IT"/>
              </w:rPr>
            </w:pPr>
            <w:r w:rsidRPr="008E76B0">
              <w:rPr>
                <w:rFonts w:ascii="Garamond" w:eastAsia="Times New Roman" w:hAnsi="Garamond" w:cstheme="minorHAnsi"/>
                <w:highlight w:val="yellow"/>
                <w:lang w:eastAsia="it-IT"/>
              </w:rPr>
              <w:t>…….</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5E96DEB1" w:rsidR="00E73F90" w:rsidRPr="00B50AD7"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1500,00</w:t>
            </w: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6875D4BF" w:rsidR="00E73F90" w:rsidRPr="00B50AD7"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403,20</w:t>
            </w: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42EB996F" w:rsidR="00E73F90" w:rsidRPr="00B50AD7"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1903,20</w:t>
            </w: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3035B4BC" w:rsidR="00FF03C6" w:rsidRPr="00B50AD7" w:rsidRDefault="008E76B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4689"/>
        <w:gridCol w:w="568"/>
        <w:gridCol w:w="690"/>
        <w:gridCol w:w="9"/>
        <w:gridCol w:w="764"/>
        <w:gridCol w:w="2261"/>
        <w:gridCol w:w="1160"/>
        <w:gridCol w:w="3984"/>
      </w:tblGrid>
      <w:tr w:rsidR="00341D3C" w:rsidRPr="00B50AD7" w14:paraId="36769B61" w14:textId="77777777" w:rsidTr="00361AA9">
        <w:trPr>
          <w:trHeight w:val="1500"/>
          <w:tblHeader/>
        </w:trPr>
        <w:tc>
          <w:tcPr>
            <w:tcW w:w="1812"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2"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3"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1"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64"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9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6"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361AA9">
        <w:trPr>
          <w:trHeight w:val="680"/>
        </w:trPr>
        <w:tc>
          <w:tcPr>
            <w:tcW w:w="228"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2"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D5E50" w:rsidRPr="00023F3C" w14:paraId="53C35A42" w14:textId="77777777" w:rsidTr="00361AA9">
        <w:trPr>
          <w:trHeight w:val="1417"/>
        </w:trPr>
        <w:tc>
          <w:tcPr>
            <w:tcW w:w="228"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84" w:type="pct"/>
            <w:shd w:val="clear" w:color="auto" w:fill="auto"/>
            <w:vAlign w:val="center"/>
          </w:tcPr>
          <w:p w14:paraId="29E147D9" w14:textId="2AAFF9D7" w:rsidR="00341D3C"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433ED5">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sidR="00433ED5">
              <w:rPr>
                <w:rFonts w:ascii="Garamond" w:eastAsia="Times New Roman" w:hAnsi="Garamond" w:cs="Times New Roman"/>
                <w:color w:val="000000"/>
                <w:lang w:eastAsia="it-IT"/>
              </w:rPr>
              <w:t xml:space="preserve"> </w:t>
            </w:r>
          </w:p>
        </w:tc>
        <w:tc>
          <w:tcPr>
            <w:tcW w:w="192" w:type="pct"/>
            <w:shd w:val="clear" w:color="auto" w:fill="auto"/>
            <w:vAlign w:val="center"/>
          </w:tcPr>
          <w:p w14:paraId="428E1B96" w14:textId="0026470F" w:rsidR="00341D3C" w:rsidRPr="00361AA9" w:rsidRDefault="00341D3C" w:rsidP="006B7FF4">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0C51578" w14:textId="77777777" w:rsidR="00341D3C" w:rsidRPr="00361AA9" w:rsidRDefault="00341D3C" w:rsidP="006B7FF4">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3D57D7B" w14:textId="5780B4B5" w:rsidR="00341D3C" w:rsidRPr="00361AA9" w:rsidRDefault="00361AA9" w:rsidP="006B7FF4">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highlight w:val="yellow"/>
                <w:lang w:eastAsia="it-IT"/>
              </w:rPr>
              <w:t>X</w:t>
            </w:r>
          </w:p>
        </w:tc>
        <w:tc>
          <w:tcPr>
            <w:tcW w:w="764" w:type="pct"/>
            <w:shd w:val="clear" w:color="auto" w:fill="auto"/>
            <w:vAlign w:val="center"/>
          </w:tcPr>
          <w:p w14:paraId="303B85D7" w14:textId="77777777" w:rsidR="00341D3C" w:rsidRPr="00361AA9" w:rsidRDefault="00341D3C" w:rsidP="006B7FF4">
            <w:pPr>
              <w:spacing w:after="0" w:line="240" w:lineRule="auto"/>
              <w:rPr>
                <w:rFonts w:ascii="Garamond" w:eastAsia="Times New Roman" w:hAnsi="Garamond" w:cs="Times New Roman"/>
                <w:b/>
                <w:bCs/>
                <w:color w:val="000000"/>
                <w:highlight w:val="yellow"/>
                <w:lang w:eastAsia="it-IT"/>
              </w:rPr>
            </w:pPr>
          </w:p>
        </w:tc>
        <w:tc>
          <w:tcPr>
            <w:tcW w:w="392" w:type="pct"/>
            <w:shd w:val="clear" w:color="auto" w:fill="auto"/>
            <w:vAlign w:val="center"/>
          </w:tcPr>
          <w:p w14:paraId="768A5EBF" w14:textId="1810F663" w:rsidR="00341D3C" w:rsidRPr="00361AA9" w:rsidRDefault="00361AA9" w:rsidP="006B7FF4">
            <w:pPr>
              <w:spacing w:after="0" w:line="240" w:lineRule="auto"/>
              <w:rPr>
                <w:rFonts w:ascii="Garamond" w:eastAsia="Times New Roman" w:hAnsi="Garamond" w:cs="Times New Roman"/>
                <w:b/>
                <w:color w:val="000000"/>
                <w:highlight w:val="yellow"/>
                <w:lang w:eastAsia="it-IT"/>
              </w:rPr>
            </w:pPr>
            <w:r w:rsidRPr="00361AA9">
              <w:rPr>
                <w:rFonts w:ascii="Garamond" w:eastAsia="Times New Roman" w:hAnsi="Garamond" w:cs="Times New Roman"/>
                <w:b/>
                <w:color w:val="000000"/>
                <w:highlight w:val="yellow"/>
                <w:lang w:eastAsia="it-IT"/>
              </w:rPr>
              <w:t>Non applicabile</w:t>
            </w:r>
          </w:p>
        </w:tc>
        <w:tc>
          <w:tcPr>
            <w:tcW w:w="1346"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361AA9" w:rsidRPr="00023F3C" w14:paraId="26F89ACD" w14:textId="77777777" w:rsidTr="00361AA9">
        <w:trPr>
          <w:trHeight w:val="1355"/>
        </w:trPr>
        <w:tc>
          <w:tcPr>
            <w:tcW w:w="228" w:type="pct"/>
            <w:shd w:val="clear" w:color="auto" w:fill="auto"/>
            <w:vAlign w:val="center"/>
          </w:tcPr>
          <w:p w14:paraId="32149566" w14:textId="3C59D04C"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84" w:type="pct"/>
            <w:shd w:val="clear" w:color="auto" w:fill="auto"/>
            <w:vAlign w:val="center"/>
          </w:tcPr>
          <w:p w14:paraId="5AB42ED6" w14:textId="3C106800" w:rsidR="00361AA9"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92" w:type="pct"/>
            <w:shd w:val="clear" w:color="auto" w:fill="auto"/>
            <w:vAlign w:val="center"/>
          </w:tcPr>
          <w:p w14:paraId="4D75BE34" w14:textId="5EADAE35"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90EB166"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3B86E19" w14:textId="0E18204B"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highlight w:val="yellow"/>
                <w:lang w:eastAsia="it-IT"/>
              </w:rPr>
              <w:t>X</w:t>
            </w:r>
          </w:p>
        </w:tc>
        <w:tc>
          <w:tcPr>
            <w:tcW w:w="764" w:type="pct"/>
            <w:shd w:val="clear" w:color="auto" w:fill="auto"/>
            <w:vAlign w:val="center"/>
          </w:tcPr>
          <w:p w14:paraId="556478F7"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392" w:type="pct"/>
            <w:shd w:val="clear" w:color="auto" w:fill="auto"/>
            <w:vAlign w:val="center"/>
          </w:tcPr>
          <w:p w14:paraId="0A818B4D" w14:textId="4E9BA1F4" w:rsidR="00361AA9" w:rsidRPr="00361AA9" w:rsidRDefault="00361AA9" w:rsidP="00361AA9">
            <w:pPr>
              <w:spacing w:after="0" w:line="240" w:lineRule="auto"/>
              <w:rPr>
                <w:rFonts w:ascii="Garamond" w:eastAsia="Times New Roman" w:hAnsi="Garamond" w:cs="Times New Roman"/>
                <w:color w:val="000000"/>
                <w:highlight w:val="yellow"/>
                <w:lang w:eastAsia="it-IT"/>
              </w:rPr>
            </w:pPr>
            <w:r w:rsidRPr="00361AA9">
              <w:rPr>
                <w:rFonts w:ascii="Garamond" w:eastAsia="Times New Roman" w:hAnsi="Garamond" w:cs="Times New Roman"/>
                <w:b/>
                <w:color w:val="000000"/>
                <w:highlight w:val="yellow"/>
                <w:lang w:eastAsia="it-IT"/>
              </w:rPr>
              <w:t>Non applicabile</w:t>
            </w:r>
          </w:p>
        </w:tc>
        <w:tc>
          <w:tcPr>
            <w:tcW w:w="1346" w:type="pct"/>
            <w:vAlign w:val="center"/>
          </w:tcPr>
          <w:p w14:paraId="18E5C434" w14:textId="781CAEE3"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361AA9" w:rsidRPr="00023F3C" w14:paraId="764C108E" w14:textId="77777777" w:rsidTr="00361AA9">
        <w:trPr>
          <w:trHeight w:val="823"/>
        </w:trPr>
        <w:tc>
          <w:tcPr>
            <w:tcW w:w="228" w:type="pct"/>
            <w:shd w:val="clear" w:color="auto" w:fill="auto"/>
            <w:vAlign w:val="center"/>
          </w:tcPr>
          <w:p w14:paraId="5442AF78" w14:textId="52C79951"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1D527A6B" w14:textId="5C7298FF" w:rsidR="00361AA9" w:rsidRPr="001833DF"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92" w:type="pct"/>
            <w:shd w:val="clear" w:color="auto" w:fill="auto"/>
            <w:vAlign w:val="center"/>
          </w:tcPr>
          <w:p w14:paraId="002F1CF6" w14:textId="43A0FD22"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A76C4C9"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9682E6F" w14:textId="271DD4E9"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highlight w:val="yellow"/>
                <w:lang w:eastAsia="it-IT"/>
              </w:rPr>
              <w:t>X</w:t>
            </w:r>
          </w:p>
        </w:tc>
        <w:tc>
          <w:tcPr>
            <w:tcW w:w="764" w:type="pct"/>
            <w:shd w:val="clear" w:color="auto" w:fill="auto"/>
            <w:vAlign w:val="center"/>
          </w:tcPr>
          <w:p w14:paraId="1CCA3144" w14:textId="77777777" w:rsidR="00361AA9" w:rsidRPr="00361AA9" w:rsidRDefault="00361AA9" w:rsidP="00361AA9">
            <w:pPr>
              <w:spacing w:after="0" w:line="240" w:lineRule="auto"/>
              <w:rPr>
                <w:rFonts w:ascii="Garamond" w:eastAsia="Times New Roman" w:hAnsi="Garamond" w:cs="Times New Roman"/>
                <w:color w:val="000000"/>
                <w:highlight w:val="yellow"/>
                <w:lang w:eastAsia="it-IT"/>
              </w:rPr>
            </w:pPr>
          </w:p>
        </w:tc>
        <w:tc>
          <w:tcPr>
            <w:tcW w:w="392" w:type="pct"/>
            <w:shd w:val="clear" w:color="auto" w:fill="auto"/>
            <w:vAlign w:val="center"/>
          </w:tcPr>
          <w:p w14:paraId="13D0C87C" w14:textId="3E7DA9B0"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color w:val="000000"/>
                <w:highlight w:val="yellow"/>
                <w:lang w:eastAsia="it-IT"/>
              </w:rPr>
              <w:t>Non applicabile</w:t>
            </w:r>
          </w:p>
        </w:tc>
        <w:tc>
          <w:tcPr>
            <w:tcW w:w="1346" w:type="pct"/>
            <w:vAlign w:val="center"/>
          </w:tcPr>
          <w:p w14:paraId="668C7F89" w14:textId="386D1FA3"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361AA9" w:rsidRPr="00023F3C" w14:paraId="1A0BBC34" w14:textId="77777777" w:rsidTr="00E755D9">
        <w:trPr>
          <w:trHeight w:val="669"/>
        </w:trPr>
        <w:tc>
          <w:tcPr>
            <w:tcW w:w="228" w:type="pct"/>
            <w:shd w:val="clear" w:color="auto" w:fill="auto"/>
            <w:vAlign w:val="center"/>
          </w:tcPr>
          <w:p w14:paraId="5F241B02" w14:textId="2DC36594"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072D0CA6" w14:textId="428ED1FA" w:rsidR="00361AA9" w:rsidRPr="008056E1" w:rsidRDefault="00361AA9" w:rsidP="00361AA9">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92" w:type="pct"/>
            <w:shd w:val="clear" w:color="auto" w:fill="auto"/>
            <w:vAlign w:val="center"/>
          </w:tcPr>
          <w:p w14:paraId="664AE583" w14:textId="77777777" w:rsidR="00361AA9" w:rsidRPr="008056E1" w:rsidRDefault="00361AA9" w:rsidP="00361AA9">
            <w:pPr>
              <w:spacing w:after="0" w:line="240" w:lineRule="auto"/>
              <w:rPr>
                <w:rFonts w:ascii="Garamond" w:eastAsia="Times New Roman" w:hAnsi="Garamond" w:cs="Times New Roman"/>
                <w:b/>
                <w:bCs/>
                <w:color w:val="000000"/>
                <w:highlight w:val="yellow"/>
                <w:lang w:eastAsia="it-IT"/>
              </w:rPr>
            </w:pPr>
          </w:p>
        </w:tc>
        <w:tc>
          <w:tcPr>
            <w:tcW w:w="233" w:type="pct"/>
            <w:shd w:val="clear" w:color="auto" w:fill="auto"/>
            <w:vAlign w:val="center"/>
          </w:tcPr>
          <w:p w14:paraId="6253CF0B" w14:textId="77777777" w:rsidR="00361AA9" w:rsidRPr="008056E1"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tcPr>
          <w:p w14:paraId="443ACDE2" w14:textId="527BE1F9"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highlight w:val="yellow"/>
                <w:lang w:eastAsia="it-IT"/>
              </w:rPr>
              <w:t>X</w:t>
            </w:r>
          </w:p>
        </w:tc>
        <w:tc>
          <w:tcPr>
            <w:tcW w:w="764" w:type="pct"/>
            <w:shd w:val="clear" w:color="auto" w:fill="auto"/>
          </w:tcPr>
          <w:p w14:paraId="1EF93EBB"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392" w:type="pct"/>
            <w:shd w:val="clear" w:color="auto" w:fill="auto"/>
          </w:tcPr>
          <w:p w14:paraId="5AE8476D" w14:textId="7598FA7A"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highlight w:val="yellow"/>
                <w:lang w:eastAsia="it-IT"/>
              </w:rPr>
              <w:t>Non applicabile</w:t>
            </w:r>
          </w:p>
        </w:tc>
        <w:tc>
          <w:tcPr>
            <w:tcW w:w="1346" w:type="pct"/>
            <w:vAlign w:val="center"/>
          </w:tcPr>
          <w:p w14:paraId="5698961F" w14:textId="77777777"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61AA9" w:rsidRPr="005535AE" w:rsidRDefault="00361AA9" w:rsidP="00361AA9">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361AA9" w:rsidRPr="00023F3C" w14:paraId="2FAA8576" w14:textId="77777777" w:rsidTr="00361AA9">
        <w:trPr>
          <w:trHeight w:val="1739"/>
        </w:trPr>
        <w:tc>
          <w:tcPr>
            <w:tcW w:w="228" w:type="pct"/>
            <w:shd w:val="clear" w:color="auto" w:fill="auto"/>
            <w:vAlign w:val="center"/>
          </w:tcPr>
          <w:p w14:paraId="4F3FDA07" w14:textId="338433C2"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5F0B43F1" w14:textId="77777777" w:rsidR="00361AA9"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361AA9" w:rsidRDefault="00361AA9" w:rsidP="00361AA9">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361AA9" w:rsidRDefault="00361AA9" w:rsidP="00361AA9">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361AA9" w:rsidRPr="00010624" w:rsidRDefault="00361AA9" w:rsidP="00361AA9">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92" w:type="pct"/>
            <w:shd w:val="clear" w:color="auto" w:fill="auto"/>
            <w:vAlign w:val="center"/>
          </w:tcPr>
          <w:p w14:paraId="1D4D19D1" w14:textId="16D713BD"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highlight w:val="yellow"/>
                <w:lang w:eastAsia="it-IT"/>
              </w:rPr>
              <w:t>X</w:t>
            </w:r>
          </w:p>
        </w:tc>
        <w:tc>
          <w:tcPr>
            <w:tcW w:w="233" w:type="pct"/>
            <w:shd w:val="clear" w:color="auto" w:fill="auto"/>
            <w:vAlign w:val="center"/>
          </w:tcPr>
          <w:p w14:paraId="31E42B90"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196800FA" w14:textId="77777777" w:rsidR="00361AA9" w:rsidRPr="00361AA9"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45FA47DB"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DA37443" w14:textId="77777777" w:rsidR="00361AA9" w:rsidRPr="00467C83"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07ACA130" w14:textId="77777777"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361AA9" w:rsidRPr="005535AE" w:rsidRDefault="00361AA9" w:rsidP="00361AA9">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361AA9" w:rsidRPr="00023F3C" w14:paraId="5E03EC93" w14:textId="77777777" w:rsidTr="00361AA9">
        <w:trPr>
          <w:trHeight w:val="1864"/>
        </w:trPr>
        <w:tc>
          <w:tcPr>
            <w:tcW w:w="228" w:type="pct"/>
            <w:shd w:val="clear" w:color="auto" w:fill="auto"/>
            <w:vAlign w:val="center"/>
          </w:tcPr>
          <w:p w14:paraId="3BCED4E9" w14:textId="4C58B5E4"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84" w:type="pct"/>
            <w:shd w:val="clear" w:color="auto" w:fill="auto"/>
            <w:vAlign w:val="center"/>
          </w:tcPr>
          <w:p w14:paraId="08CACEB5" w14:textId="79EB43D6" w:rsidR="00361AA9" w:rsidRPr="00010624" w:rsidRDefault="00361AA9" w:rsidP="00361AA9">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2" w:type="pct"/>
            <w:shd w:val="clear" w:color="auto" w:fill="auto"/>
            <w:vAlign w:val="center"/>
          </w:tcPr>
          <w:p w14:paraId="6768A3FC" w14:textId="541CE9FD" w:rsidR="00361AA9" w:rsidRPr="00010624" w:rsidRDefault="00361AA9" w:rsidP="00361AA9">
            <w:pPr>
              <w:spacing w:after="0" w:line="240" w:lineRule="auto"/>
              <w:rPr>
                <w:rFonts w:ascii="Garamond" w:eastAsia="Times New Roman" w:hAnsi="Garamond" w:cs="Times New Roman"/>
                <w:b/>
                <w:bCs/>
                <w:color w:val="000000"/>
                <w:highlight w:val="yellow"/>
                <w:lang w:eastAsia="it-IT"/>
              </w:rPr>
            </w:pPr>
            <w:r w:rsidRPr="00361AA9">
              <w:rPr>
                <w:rFonts w:ascii="Garamond" w:eastAsia="Times New Roman" w:hAnsi="Garamond" w:cs="Times New Roman"/>
                <w:b/>
                <w:bCs/>
                <w:color w:val="000000"/>
                <w:lang w:eastAsia="it-IT"/>
              </w:rPr>
              <w:t>X</w:t>
            </w:r>
          </w:p>
        </w:tc>
        <w:tc>
          <w:tcPr>
            <w:tcW w:w="233" w:type="pct"/>
            <w:shd w:val="clear" w:color="auto" w:fill="auto"/>
            <w:vAlign w:val="center"/>
          </w:tcPr>
          <w:p w14:paraId="3467D729" w14:textId="77777777" w:rsidR="00361AA9" w:rsidRPr="00010624"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0EB606DB"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31B38E"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5C2510A" w14:textId="77777777" w:rsidR="00361AA9" w:rsidRPr="00467C83"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AABA940" w14:textId="3BAFE40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61AA9" w:rsidRPr="00023F3C" w14:paraId="54875E6F" w14:textId="77777777" w:rsidTr="00361AA9">
        <w:trPr>
          <w:trHeight w:val="680"/>
        </w:trPr>
        <w:tc>
          <w:tcPr>
            <w:tcW w:w="228" w:type="pct"/>
            <w:shd w:val="clear" w:color="000000" w:fill="B8CCE4"/>
            <w:vAlign w:val="center"/>
          </w:tcPr>
          <w:p w14:paraId="61EF7917" w14:textId="3ED29960" w:rsidR="00361AA9" w:rsidRDefault="00361AA9" w:rsidP="00361AA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B</w:t>
            </w:r>
          </w:p>
        </w:tc>
        <w:tc>
          <w:tcPr>
            <w:tcW w:w="4772" w:type="pct"/>
            <w:gridSpan w:val="8"/>
            <w:shd w:val="clear" w:color="000000" w:fill="B8CCE4"/>
            <w:vAlign w:val="center"/>
          </w:tcPr>
          <w:p w14:paraId="3B054726" w14:textId="1A671944" w:rsidR="00361AA9" w:rsidRPr="00811298" w:rsidRDefault="00361AA9" w:rsidP="00361AA9">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361AA9" w:rsidRPr="00023F3C" w14:paraId="040B8A6C" w14:textId="77777777" w:rsidTr="00361AA9">
        <w:trPr>
          <w:trHeight w:val="978"/>
        </w:trPr>
        <w:tc>
          <w:tcPr>
            <w:tcW w:w="228" w:type="pct"/>
            <w:shd w:val="clear" w:color="auto" w:fill="auto"/>
            <w:vAlign w:val="center"/>
          </w:tcPr>
          <w:p w14:paraId="5347EDFC" w14:textId="0C6B0103"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84" w:type="pct"/>
            <w:shd w:val="clear" w:color="auto" w:fill="auto"/>
            <w:vAlign w:val="center"/>
          </w:tcPr>
          <w:p w14:paraId="0981B471" w14:textId="16FBE659" w:rsidR="00361AA9" w:rsidRPr="00023F3C"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2" w:type="pct"/>
            <w:shd w:val="clear" w:color="auto" w:fill="auto"/>
            <w:vAlign w:val="center"/>
          </w:tcPr>
          <w:p w14:paraId="4FF40900"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00A1672"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E0BFE42"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D262AEE"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C49B72A" w14:textId="67ECF49C" w:rsidR="00361AA9" w:rsidRPr="006B0057" w:rsidRDefault="007D031C" w:rsidP="00361AA9">
            <w:pPr>
              <w:spacing w:after="0" w:line="240" w:lineRule="auto"/>
              <w:rPr>
                <w:rFonts w:ascii="Garamond" w:eastAsia="Times New Roman" w:hAnsi="Garamond" w:cs="Times New Roman"/>
                <w:color w:val="000000"/>
                <w:lang w:eastAsia="it-IT"/>
              </w:rPr>
            </w:pPr>
            <w:r w:rsidRPr="007D031C">
              <w:rPr>
                <w:rFonts w:ascii="Garamond" w:eastAsia="Times New Roman" w:hAnsi="Garamond" w:cs="Times New Roman"/>
                <w:color w:val="000000"/>
                <w:highlight w:val="yellow"/>
                <w:lang w:eastAsia="it-IT"/>
              </w:rPr>
              <w:t>???</w:t>
            </w:r>
          </w:p>
        </w:tc>
        <w:tc>
          <w:tcPr>
            <w:tcW w:w="1346" w:type="pct"/>
            <w:vAlign w:val="center"/>
          </w:tcPr>
          <w:p w14:paraId="3C27D0D2" w14:textId="04CDE0EE"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361AA9" w:rsidRPr="00023F3C" w14:paraId="407C5834" w14:textId="77777777" w:rsidTr="00361AA9">
        <w:trPr>
          <w:trHeight w:val="978"/>
        </w:trPr>
        <w:tc>
          <w:tcPr>
            <w:tcW w:w="228" w:type="pct"/>
            <w:shd w:val="clear" w:color="auto" w:fill="auto"/>
            <w:vAlign w:val="center"/>
          </w:tcPr>
          <w:p w14:paraId="0DE5F58B" w14:textId="0CC26EC0"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84" w:type="pct"/>
            <w:shd w:val="clear" w:color="auto" w:fill="auto"/>
            <w:vAlign w:val="center"/>
          </w:tcPr>
          <w:p w14:paraId="4A0990C4" w14:textId="72E3E892"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2" w:type="pct"/>
            <w:shd w:val="clear" w:color="auto" w:fill="auto"/>
            <w:vAlign w:val="center"/>
          </w:tcPr>
          <w:p w14:paraId="6C037CAD"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CD2F201" w14:textId="77777777" w:rsidR="00361AA9" w:rsidRPr="007D031C"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239B05A1" w14:textId="6CC6C714" w:rsidR="00361AA9" w:rsidRPr="007D031C" w:rsidRDefault="007D031C" w:rsidP="00361AA9">
            <w:pPr>
              <w:spacing w:after="0" w:line="240" w:lineRule="auto"/>
              <w:rPr>
                <w:rFonts w:ascii="Garamond" w:eastAsia="Times New Roman" w:hAnsi="Garamond" w:cs="Times New Roman"/>
                <w:b/>
                <w:bCs/>
                <w:color w:val="000000"/>
                <w:highlight w:val="yellow"/>
                <w:lang w:eastAsia="it-IT"/>
              </w:rPr>
            </w:pPr>
            <w:r w:rsidRPr="007D031C">
              <w:rPr>
                <w:rFonts w:ascii="Garamond" w:eastAsia="Times New Roman" w:hAnsi="Garamond" w:cs="Times New Roman"/>
                <w:b/>
                <w:bCs/>
                <w:color w:val="000000"/>
                <w:highlight w:val="yellow"/>
                <w:lang w:eastAsia="it-IT"/>
              </w:rPr>
              <w:t>X</w:t>
            </w:r>
          </w:p>
        </w:tc>
        <w:tc>
          <w:tcPr>
            <w:tcW w:w="764" w:type="pct"/>
            <w:shd w:val="clear" w:color="auto" w:fill="auto"/>
            <w:vAlign w:val="center"/>
          </w:tcPr>
          <w:p w14:paraId="0D33AF3C"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2D637B0"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67721EC6" w14:textId="50A77D9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361AA9" w:rsidRPr="00023F3C" w14:paraId="6497DFBB" w14:textId="77777777" w:rsidTr="00361AA9">
        <w:trPr>
          <w:trHeight w:val="978"/>
        </w:trPr>
        <w:tc>
          <w:tcPr>
            <w:tcW w:w="228" w:type="pct"/>
            <w:shd w:val="clear" w:color="auto" w:fill="auto"/>
            <w:vAlign w:val="center"/>
          </w:tcPr>
          <w:p w14:paraId="2198E653" w14:textId="1A1F6E08"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01C8BAB3" w14:textId="5C4D53F9"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2" w:type="pct"/>
            <w:shd w:val="clear" w:color="auto" w:fill="auto"/>
            <w:vAlign w:val="center"/>
          </w:tcPr>
          <w:p w14:paraId="0CAF0F84" w14:textId="61539C7F" w:rsidR="00361AA9" w:rsidRPr="007D031C" w:rsidRDefault="00361AA9" w:rsidP="00361AA9">
            <w:pPr>
              <w:spacing w:after="0" w:line="240" w:lineRule="auto"/>
              <w:rPr>
                <w:rFonts w:ascii="Garamond" w:eastAsia="Times New Roman" w:hAnsi="Garamond" w:cs="Times New Roman"/>
                <w:b/>
                <w:bCs/>
                <w:color w:val="000000"/>
                <w:highlight w:val="yellow"/>
                <w:lang w:eastAsia="it-IT"/>
              </w:rPr>
            </w:pPr>
          </w:p>
        </w:tc>
        <w:tc>
          <w:tcPr>
            <w:tcW w:w="233" w:type="pct"/>
            <w:shd w:val="clear" w:color="auto" w:fill="auto"/>
            <w:vAlign w:val="center"/>
          </w:tcPr>
          <w:p w14:paraId="32F2EE0F"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CA37B46" w14:textId="06A7EE42" w:rsidR="00361AA9" w:rsidRPr="00023F3C" w:rsidRDefault="00E755D9"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16BD021D"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C06CDEA"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5C16751E" w14:textId="475C666F"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361AA9" w:rsidRPr="00023F3C" w14:paraId="6A14D1A2" w14:textId="77777777" w:rsidTr="00361AA9">
        <w:trPr>
          <w:trHeight w:val="978"/>
        </w:trPr>
        <w:tc>
          <w:tcPr>
            <w:tcW w:w="228" w:type="pct"/>
            <w:shd w:val="clear" w:color="auto" w:fill="auto"/>
            <w:vAlign w:val="center"/>
          </w:tcPr>
          <w:p w14:paraId="681AC3FE" w14:textId="42CCD7D0"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65DDD0D8" w14:textId="4D7F8113"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2" w:type="pct"/>
            <w:shd w:val="clear" w:color="auto" w:fill="auto"/>
            <w:vAlign w:val="center"/>
          </w:tcPr>
          <w:p w14:paraId="09A1EC0D"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3E972AF"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DE173BF" w14:textId="20D04201" w:rsidR="00361AA9" w:rsidRPr="00023F3C" w:rsidRDefault="007D031C"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D224DDC"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811EB35"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32791484" w14:textId="7A84C28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361AA9" w:rsidRPr="00023F3C" w14:paraId="719C1F46" w14:textId="77777777" w:rsidTr="00361AA9">
        <w:trPr>
          <w:trHeight w:val="978"/>
        </w:trPr>
        <w:tc>
          <w:tcPr>
            <w:tcW w:w="228" w:type="pct"/>
            <w:shd w:val="clear" w:color="auto" w:fill="auto"/>
            <w:vAlign w:val="center"/>
          </w:tcPr>
          <w:p w14:paraId="1FC634EA" w14:textId="4780152A"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11E8B573" w14:textId="0D1D65FE"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2" w:type="pct"/>
            <w:shd w:val="clear" w:color="auto" w:fill="auto"/>
            <w:vAlign w:val="center"/>
          </w:tcPr>
          <w:p w14:paraId="2785B859"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FFDF151"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C1F9919" w14:textId="7080DE07" w:rsidR="00361AA9" w:rsidRPr="00023F3C" w:rsidRDefault="007D031C"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3414AC5"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ADE369E"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79E21713" w14:textId="1DE67C1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361AA9" w:rsidRPr="00023F3C" w14:paraId="513A4E8C" w14:textId="77777777" w:rsidTr="00361AA9">
        <w:trPr>
          <w:trHeight w:val="978"/>
        </w:trPr>
        <w:tc>
          <w:tcPr>
            <w:tcW w:w="228" w:type="pct"/>
            <w:shd w:val="clear" w:color="auto" w:fill="auto"/>
            <w:vAlign w:val="center"/>
          </w:tcPr>
          <w:p w14:paraId="205E7A92" w14:textId="2E3E124A"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84" w:type="pct"/>
            <w:shd w:val="clear" w:color="auto" w:fill="auto"/>
            <w:vAlign w:val="center"/>
          </w:tcPr>
          <w:p w14:paraId="6390FBA5" w14:textId="77F15677" w:rsidR="00361AA9" w:rsidRPr="001833DF" w:rsidRDefault="00361AA9" w:rsidP="00361AA9">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2" w:type="pct"/>
            <w:shd w:val="clear" w:color="auto" w:fill="auto"/>
            <w:vAlign w:val="center"/>
          </w:tcPr>
          <w:p w14:paraId="4C12C328"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6D5A3AF"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CF5355C" w14:textId="1AD29F31" w:rsidR="00361AA9" w:rsidRPr="00023F3C" w:rsidRDefault="007D031C"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60CDA84"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62800D2"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27B476B2" w14:textId="7885C6B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361AA9" w:rsidRPr="00023F3C" w14:paraId="15270891" w14:textId="77777777" w:rsidTr="00361AA9">
        <w:trPr>
          <w:trHeight w:val="680"/>
        </w:trPr>
        <w:tc>
          <w:tcPr>
            <w:tcW w:w="228" w:type="pct"/>
            <w:shd w:val="clear" w:color="000000" w:fill="B8CCE4"/>
            <w:vAlign w:val="center"/>
          </w:tcPr>
          <w:p w14:paraId="46626AE9" w14:textId="0DE55AAC" w:rsidR="00361AA9" w:rsidRPr="002C13A0" w:rsidRDefault="00361AA9" w:rsidP="00361AA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2" w:type="pct"/>
            <w:gridSpan w:val="8"/>
            <w:shd w:val="clear" w:color="000000" w:fill="B8CCE4"/>
            <w:vAlign w:val="center"/>
          </w:tcPr>
          <w:p w14:paraId="48AC4D87" w14:textId="77777777" w:rsidR="00361AA9" w:rsidRPr="00540AD6" w:rsidRDefault="00361AA9" w:rsidP="00361AA9">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361AA9" w:rsidRPr="00023F3C" w14:paraId="273DAD52" w14:textId="77777777" w:rsidTr="00361AA9">
        <w:trPr>
          <w:trHeight w:val="1417"/>
        </w:trPr>
        <w:tc>
          <w:tcPr>
            <w:tcW w:w="228" w:type="pct"/>
            <w:shd w:val="clear" w:color="auto" w:fill="auto"/>
            <w:vAlign w:val="center"/>
          </w:tcPr>
          <w:p w14:paraId="158051F5" w14:textId="77777777" w:rsidR="00361AA9" w:rsidRPr="00086BEC" w:rsidRDefault="00361AA9" w:rsidP="00361AA9">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84" w:type="pct"/>
            <w:shd w:val="clear" w:color="auto" w:fill="auto"/>
            <w:vAlign w:val="center"/>
          </w:tcPr>
          <w:p w14:paraId="76D4EF14" w14:textId="77777777" w:rsidR="00361AA9" w:rsidRPr="001833DF" w:rsidRDefault="00361AA9" w:rsidP="00361AA9">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2" w:type="pct"/>
            <w:shd w:val="clear" w:color="auto" w:fill="auto"/>
            <w:vAlign w:val="center"/>
          </w:tcPr>
          <w:p w14:paraId="61E4D29E"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270D716"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DF818BE" w14:textId="09410C98" w:rsidR="00361AA9" w:rsidRPr="001833DF"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11DA223E"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860699B" w14:textId="77777777" w:rsidR="00361AA9" w:rsidRPr="001833DF"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5D14D941" w14:textId="517C074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361AA9" w:rsidRPr="005535AE" w:rsidRDefault="00361AA9" w:rsidP="00361AA9">
            <w:pPr>
              <w:spacing w:after="0" w:line="240" w:lineRule="auto"/>
              <w:rPr>
                <w:rFonts w:ascii="Garamond" w:eastAsia="Times New Roman" w:hAnsi="Garamond" w:cs="Times New Roman"/>
                <w:color w:val="000000"/>
                <w:sz w:val="20"/>
                <w:lang w:eastAsia="it-IT"/>
              </w:rPr>
            </w:pPr>
          </w:p>
          <w:p w14:paraId="2E50444E" w14:textId="4F09995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361AA9" w:rsidRPr="00023F3C" w14:paraId="1D3230AC" w14:textId="77777777" w:rsidTr="00361AA9">
        <w:trPr>
          <w:trHeight w:val="978"/>
        </w:trPr>
        <w:tc>
          <w:tcPr>
            <w:tcW w:w="228" w:type="pct"/>
            <w:shd w:val="clear" w:color="auto" w:fill="auto"/>
            <w:vAlign w:val="center"/>
          </w:tcPr>
          <w:p w14:paraId="042EFD15" w14:textId="3AEC8F6E" w:rsidR="00361AA9" w:rsidRPr="00023F3C"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84" w:type="pct"/>
            <w:shd w:val="clear" w:color="auto" w:fill="auto"/>
            <w:vAlign w:val="center"/>
          </w:tcPr>
          <w:p w14:paraId="19AFBD63" w14:textId="114569AD" w:rsidR="00361AA9" w:rsidRPr="00E755D9" w:rsidRDefault="00361AA9" w:rsidP="00361AA9">
            <w:pPr>
              <w:spacing w:after="0" w:line="240" w:lineRule="auto"/>
              <w:jc w:val="both"/>
              <w:rPr>
                <w:rFonts w:ascii="Garamond" w:eastAsia="Times New Roman" w:hAnsi="Garamond" w:cs="Times New Roman"/>
                <w:color w:val="000000"/>
                <w:lang w:eastAsia="it-IT"/>
              </w:rPr>
            </w:pPr>
            <w:r w:rsidRPr="00E755D9">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192" w:type="pct"/>
            <w:shd w:val="clear" w:color="auto" w:fill="auto"/>
            <w:vAlign w:val="center"/>
          </w:tcPr>
          <w:p w14:paraId="06013FA2" w14:textId="6DD34772" w:rsidR="00361AA9" w:rsidRPr="00E755D9" w:rsidRDefault="008B6522"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233" w:type="pct"/>
            <w:shd w:val="clear" w:color="auto" w:fill="auto"/>
            <w:vAlign w:val="center"/>
          </w:tcPr>
          <w:p w14:paraId="78F2D3F5"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6BA615B"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735A393" w14:textId="77777777" w:rsidR="00361AA9" w:rsidRPr="00023F3C"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FD0E4C4" w14:textId="77777777" w:rsidR="00361AA9" w:rsidRPr="006B0057"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7BE50D0A" w14:textId="77777777" w:rsidR="00361AA9" w:rsidRPr="00023F3C" w:rsidRDefault="00361AA9" w:rsidP="00361AA9">
            <w:pPr>
              <w:spacing w:after="0" w:line="240" w:lineRule="auto"/>
              <w:rPr>
                <w:rFonts w:ascii="Garamond" w:eastAsia="Times New Roman" w:hAnsi="Garamond" w:cs="Times New Roman"/>
                <w:color w:val="000000"/>
                <w:lang w:eastAsia="it-IT"/>
              </w:rPr>
            </w:pPr>
          </w:p>
        </w:tc>
      </w:tr>
      <w:tr w:rsidR="00361AA9" w:rsidRPr="00023F3C" w14:paraId="48BCC5A4" w14:textId="77777777" w:rsidTr="00361AA9">
        <w:trPr>
          <w:trHeight w:val="823"/>
        </w:trPr>
        <w:tc>
          <w:tcPr>
            <w:tcW w:w="228" w:type="pct"/>
            <w:shd w:val="clear" w:color="auto" w:fill="auto"/>
            <w:vAlign w:val="center"/>
          </w:tcPr>
          <w:p w14:paraId="388FFF8E" w14:textId="23F0FD26"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7903D23C" w14:textId="14133C6B" w:rsidR="00361AA9" w:rsidRPr="00B813FC"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361AA9" w:rsidRPr="00FD4945" w:rsidRDefault="00361AA9" w:rsidP="00361AA9">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361AA9" w:rsidRPr="00FD4945" w:rsidRDefault="00361AA9" w:rsidP="00361AA9">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mediante unioni di Comuni costituite o qualificate come Centrali di committenza, o </w:t>
            </w:r>
            <w:r w:rsidRPr="00FD4945">
              <w:rPr>
                <w:rFonts w:ascii="Garamond" w:eastAsia="Times New Roman" w:hAnsi="Garamond" w:cs="Times New Roman"/>
                <w:color w:val="000000"/>
                <w:lang w:eastAsia="it-IT"/>
              </w:rPr>
              <w:lastRenderedPageBreak/>
              <w:t>associandosi o consorziandosi in Centrali di committenza?</w:t>
            </w:r>
          </w:p>
          <w:p w14:paraId="6E015E24" w14:textId="36BA3BCD" w:rsidR="00361AA9" w:rsidRPr="00FD4945" w:rsidRDefault="00361AA9" w:rsidP="00361AA9">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361AA9" w:rsidRPr="0021708F" w:rsidRDefault="00361AA9" w:rsidP="00361AA9">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361AA9" w:rsidRDefault="00361AA9" w:rsidP="00361AA9">
            <w:pPr>
              <w:spacing w:after="0" w:line="240" w:lineRule="auto"/>
              <w:jc w:val="both"/>
              <w:rPr>
                <w:rFonts w:ascii="Garamond" w:eastAsia="Times New Roman" w:hAnsi="Garamond" w:cs="Times New Roman"/>
                <w:i/>
                <w:iCs/>
                <w:color w:val="000000"/>
                <w:lang w:eastAsia="it-IT"/>
              </w:rPr>
            </w:pPr>
          </w:p>
          <w:p w14:paraId="5A6E312B" w14:textId="5061381E" w:rsidR="00361AA9" w:rsidRDefault="00361AA9" w:rsidP="00361AA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361AA9" w:rsidRPr="001833DF"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0122D69E"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0902385"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4AF8108" w14:textId="5D68CE2F" w:rsidR="00361AA9" w:rsidRPr="001833DF"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BF5DB78" w14:textId="77777777" w:rsidR="00361AA9" w:rsidRPr="001833DF"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1F17EB3"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8964AB4" w14:textId="2997375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361AA9" w:rsidRPr="00023F3C" w14:paraId="0DC9046B" w14:textId="77777777" w:rsidTr="00361AA9">
        <w:trPr>
          <w:trHeight w:val="823"/>
        </w:trPr>
        <w:tc>
          <w:tcPr>
            <w:tcW w:w="228" w:type="pct"/>
            <w:shd w:val="clear" w:color="auto" w:fill="auto"/>
            <w:vAlign w:val="center"/>
          </w:tcPr>
          <w:p w14:paraId="2981E9A9" w14:textId="32D43E78"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77EDD48E" w14:textId="26AF3494" w:rsidR="00361AA9" w:rsidRPr="001833DF"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92" w:type="pct"/>
            <w:shd w:val="clear" w:color="auto" w:fill="auto"/>
            <w:vAlign w:val="center"/>
          </w:tcPr>
          <w:p w14:paraId="7A003575" w14:textId="18BABEF6" w:rsidR="00361AA9" w:rsidRPr="001833DF"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50FBCAA"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7C5CD00"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A5673F4" w14:textId="77777777" w:rsidR="00361AA9" w:rsidRPr="001833DF"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61AB5AB0" w14:textId="77777777" w:rsidR="00361AA9" w:rsidRPr="001833DF"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5D5952F" w14:textId="1A437A46" w:rsidR="00361AA9" w:rsidRPr="005535AE" w:rsidRDefault="00361AA9" w:rsidP="00361AA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361AA9" w:rsidRPr="00023F3C" w14:paraId="2F7000A0" w14:textId="77777777" w:rsidTr="00361AA9">
        <w:trPr>
          <w:trHeight w:val="669"/>
        </w:trPr>
        <w:tc>
          <w:tcPr>
            <w:tcW w:w="228" w:type="pct"/>
            <w:shd w:val="clear" w:color="auto" w:fill="auto"/>
            <w:vAlign w:val="center"/>
          </w:tcPr>
          <w:p w14:paraId="73BB3643" w14:textId="090DA97E" w:rsidR="00361AA9"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701DADC9" w14:textId="31A79F66" w:rsidR="00361AA9" w:rsidRPr="008056E1" w:rsidRDefault="00361AA9" w:rsidP="00361AA9">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92" w:type="pct"/>
            <w:shd w:val="clear" w:color="auto" w:fill="auto"/>
            <w:vAlign w:val="center"/>
          </w:tcPr>
          <w:p w14:paraId="3DA0E531" w14:textId="77777777" w:rsidR="00361AA9" w:rsidRPr="008056E1" w:rsidRDefault="00361AA9" w:rsidP="00361AA9">
            <w:pPr>
              <w:spacing w:after="0" w:line="240" w:lineRule="auto"/>
              <w:rPr>
                <w:rFonts w:ascii="Garamond" w:eastAsia="Times New Roman" w:hAnsi="Garamond" w:cs="Times New Roman"/>
                <w:b/>
                <w:bCs/>
                <w:color w:val="000000"/>
                <w:highlight w:val="yellow"/>
                <w:lang w:eastAsia="it-IT"/>
              </w:rPr>
            </w:pPr>
          </w:p>
        </w:tc>
        <w:tc>
          <w:tcPr>
            <w:tcW w:w="233" w:type="pct"/>
            <w:shd w:val="clear" w:color="auto" w:fill="auto"/>
            <w:vAlign w:val="center"/>
          </w:tcPr>
          <w:p w14:paraId="6085554D" w14:textId="77777777" w:rsidR="00361AA9" w:rsidRPr="00E755D9"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6265644" w14:textId="4F3CADB2" w:rsidR="00361AA9" w:rsidRPr="00E755D9" w:rsidRDefault="008B6522"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764" w:type="pct"/>
            <w:shd w:val="clear" w:color="auto" w:fill="auto"/>
            <w:vAlign w:val="center"/>
          </w:tcPr>
          <w:p w14:paraId="37C8731A" w14:textId="77777777" w:rsidR="00361AA9" w:rsidRPr="008056E1" w:rsidRDefault="00361AA9" w:rsidP="00361AA9">
            <w:pPr>
              <w:spacing w:after="0" w:line="240" w:lineRule="auto"/>
              <w:rPr>
                <w:rFonts w:ascii="Garamond" w:eastAsia="Times New Roman" w:hAnsi="Garamond" w:cs="Times New Roman"/>
                <w:color w:val="000000"/>
                <w:highlight w:val="yellow"/>
                <w:lang w:eastAsia="it-IT"/>
              </w:rPr>
            </w:pPr>
          </w:p>
        </w:tc>
        <w:tc>
          <w:tcPr>
            <w:tcW w:w="392" w:type="pct"/>
            <w:shd w:val="clear" w:color="auto" w:fill="auto"/>
            <w:vAlign w:val="center"/>
          </w:tcPr>
          <w:p w14:paraId="1FF484CA" w14:textId="77777777" w:rsidR="00361AA9" w:rsidRPr="008056E1" w:rsidRDefault="00361AA9" w:rsidP="00361AA9">
            <w:pPr>
              <w:spacing w:after="0" w:line="240" w:lineRule="auto"/>
              <w:rPr>
                <w:rFonts w:ascii="Garamond" w:eastAsia="Times New Roman" w:hAnsi="Garamond" w:cs="Times New Roman"/>
                <w:color w:val="000000"/>
                <w:highlight w:val="yellow"/>
                <w:lang w:eastAsia="it-IT"/>
              </w:rPr>
            </w:pPr>
          </w:p>
        </w:tc>
        <w:tc>
          <w:tcPr>
            <w:tcW w:w="1346" w:type="pct"/>
            <w:vAlign w:val="center"/>
          </w:tcPr>
          <w:p w14:paraId="0296F2C8" w14:textId="7777777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361AA9" w:rsidRPr="005535AE" w:rsidRDefault="00361AA9" w:rsidP="00361AA9">
            <w:pPr>
              <w:spacing w:after="0" w:line="240" w:lineRule="auto"/>
              <w:rPr>
                <w:rFonts w:ascii="Garamond" w:eastAsia="Times New Roman" w:hAnsi="Garamond" w:cs="Times New Roman"/>
                <w:color w:val="000000"/>
                <w:sz w:val="20"/>
                <w:lang w:eastAsia="it-IT"/>
              </w:rPr>
            </w:pPr>
          </w:p>
          <w:p w14:paraId="57119EF9" w14:textId="1D939BB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361AA9" w:rsidRPr="003D5E50" w14:paraId="70C26B3B" w14:textId="77777777" w:rsidTr="00361AA9">
        <w:trPr>
          <w:trHeight w:val="1739"/>
        </w:trPr>
        <w:tc>
          <w:tcPr>
            <w:tcW w:w="228" w:type="pct"/>
            <w:shd w:val="clear" w:color="auto" w:fill="auto"/>
            <w:vAlign w:val="center"/>
          </w:tcPr>
          <w:p w14:paraId="76D4D89B" w14:textId="6C2BF8AC"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5E86B462" w14:textId="77777777" w:rsidR="00361AA9" w:rsidRPr="003D5E50" w:rsidRDefault="00361AA9" w:rsidP="00361AA9">
            <w:pPr>
              <w:spacing w:after="0" w:line="240" w:lineRule="auto"/>
              <w:rPr>
                <w:rFonts w:ascii="Garamond" w:eastAsia="Times New Roman" w:hAnsi="Garamond" w:cs="Times New Roman"/>
                <w:color w:val="000000"/>
                <w:lang w:eastAsia="it-IT"/>
              </w:rPr>
            </w:pPr>
          </w:p>
          <w:p w14:paraId="70C2FA07" w14:textId="66361F15"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02FEC400" w14:textId="65E066B2"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02B1E56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DB9889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1BADFB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92595C0"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1346" w:type="pct"/>
            <w:vAlign w:val="center"/>
          </w:tcPr>
          <w:p w14:paraId="39F890BC" w14:textId="612299AD" w:rsidR="00361AA9" w:rsidRPr="005535AE" w:rsidRDefault="00361AA9" w:rsidP="00361AA9">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361AA9" w:rsidRPr="003D5E50" w14:paraId="19E44B3B" w14:textId="77777777" w:rsidTr="00361AA9">
        <w:trPr>
          <w:trHeight w:val="1417"/>
        </w:trPr>
        <w:tc>
          <w:tcPr>
            <w:tcW w:w="228" w:type="pct"/>
            <w:shd w:val="clear" w:color="auto" w:fill="auto"/>
            <w:vAlign w:val="center"/>
          </w:tcPr>
          <w:p w14:paraId="35A5C447" w14:textId="0BD93DAD"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84" w:type="pct"/>
            <w:shd w:val="clear" w:color="auto" w:fill="auto"/>
            <w:vAlign w:val="center"/>
          </w:tcPr>
          <w:p w14:paraId="2466AA01" w14:textId="45DB7558"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361AA9" w:rsidRPr="003D5E50" w:rsidRDefault="00361AA9" w:rsidP="00361AA9">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361AA9" w:rsidRPr="005535AE" w:rsidRDefault="00361AA9" w:rsidP="00361AA9">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92" w:type="pct"/>
            <w:shd w:val="clear" w:color="auto" w:fill="auto"/>
            <w:vAlign w:val="center"/>
          </w:tcPr>
          <w:p w14:paraId="29D1BFA6" w14:textId="6CD09D1E"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6EB2112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048FAC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ACA916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83994E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41161DE"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065C68D5" w14:textId="77777777" w:rsidTr="00361AA9">
        <w:trPr>
          <w:trHeight w:val="1417"/>
        </w:trPr>
        <w:tc>
          <w:tcPr>
            <w:tcW w:w="228" w:type="pct"/>
            <w:shd w:val="clear" w:color="auto" w:fill="auto"/>
            <w:vAlign w:val="center"/>
          </w:tcPr>
          <w:p w14:paraId="1C7B7B2A" w14:textId="281FBFF6"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79FB92AC" w14:textId="55CB0FEB"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2" w:type="pct"/>
            <w:shd w:val="clear" w:color="auto" w:fill="auto"/>
            <w:vAlign w:val="center"/>
          </w:tcPr>
          <w:p w14:paraId="0DF05DB2" w14:textId="1A287BAA"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59473F2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D4F35B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2CD0A0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F0544E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831B793" w14:textId="025A2204"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361AA9" w:rsidRPr="003D5E50" w14:paraId="2B2FD87D" w14:textId="77777777" w:rsidTr="00361AA9">
        <w:trPr>
          <w:trHeight w:val="1417"/>
        </w:trPr>
        <w:tc>
          <w:tcPr>
            <w:tcW w:w="228" w:type="pct"/>
            <w:shd w:val="clear" w:color="auto" w:fill="auto"/>
            <w:vAlign w:val="center"/>
          </w:tcPr>
          <w:p w14:paraId="5B63C7C0" w14:textId="6514055D"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78311E01" w14:textId="745D0E61"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92" w:type="pct"/>
            <w:shd w:val="clear" w:color="auto" w:fill="auto"/>
            <w:vAlign w:val="center"/>
          </w:tcPr>
          <w:p w14:paraId="0BBF6D4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9D0624F" w14:textId="1E1CF4AA"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61" w:type="pct"/>
            <w:gridSpan w:val="2"/>
            <w:shd w:val="clear" w:color="auto" w:fill="auto"/>
            <w:vAlign w:val="center"/>
          </w:tcPr>
          <w:p w14:paraId="5A5853E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997B1A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B86A99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823A9A5" w14:textId="616651B0"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361AA9" w:rsidRPr="003D5E50" w14:paraId="28AF534B" w14:textId="77777777" w:rsidTr="00361AA9">
        <w:trPr>
          <w:trHeight w:val="1417"/>
        </w:trPr>
        <w:tc>
          <w:tcPr>
            <w:tcW w:w="228" w:type="pct"/>
            <w:shd w:val="clear" w:color="auto" w:fill="auto"/>
            <w:vAlign w:val="center"/>
          </w:tcPr>
          <w:p w14:paraId="034D39A4" w14:textId="4C1EBCE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29F19EF4" w14:textId="55BBDF4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2" w:type="pct"/>
            <w:shd w:val="clear" w:color="auto" w:fill="auto"/>
            <w:vAlign w:val="center"/>
          </w:tcPr>
          <w:p w14:paraId="2078E6A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9360051" w14:textId="77777777" w:rsidR="00361AA9" w:rsidRPr="00E755D9"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7B7073C" w14:textId="57E2D14F" w:rsidR="00361AA9" w:rsidRPr="00E755D9" w:rsidRDefault="008B6522"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764" w:type="pct"/>
            <w:shd w:val="clear" w:color="auto" w:fill="auto"/>
            <w:vAlign w:val="center"/>
          </w:tcPr>
          <w:p w14:paraId="139D3A2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1CD9EB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84EF8E6" w14:textId="55B8EAEF"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361AA9" w:rsidRPr="003D5E50" w14:paraId="4AB29144" w14:textId="77777777" w:rsidTr="00361AA9">
        <w:trPr>
          <w:trHeight w:val="1417"/>
        </w:trPr>
        <w:tc>
          <w:tcPr>
            <w:tcW w:w="228" w:type="pct"/>
            <w:shd w:val="clear" w:color="auto" w:fill="auto"/>
            <w:vAlign w:val="center"/>
          </w:tcPr>
          <w:p w14:paraId="6D98AAF2" w14:textId="423BC16A"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14E2F124" w14:textId="6000B649"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92" w:type="pct"/>
            <w:shd w:val="clear" w:color="auto" w:fill="auto"/>
            <w:vAlign w:val="center"/>
          </w:tcPr>
          <w:p w14:paraId="6149A2DB" w14:textId="33849C57"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60F98EE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0EC7B4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B43201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932505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A4118E8" w14:textId="19E7D892" w:rsidR="00361AA9" w:rsidRPr="003D5E50" w:rsidRDefault="00361AA9"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361AA9" w:rsidRPr="003D5E50" w:rsidRDefault="00361AA9"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361AA9" w:rsidRPr="003D5E50" w:rsidRDefault="00361AA9"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361AA9" w:rsidRPr="003D5E50" w:rsidRDefault="00361AA9"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361AA9" w:rsidRPr="003D5E50" w14:paraId="271B5303" w14:textId="77777777" w:rsidTr="00361AA9">
        <w:trPr>
          <w:trHeight w:val="1314"/>
        </w:trPr>
        <w:tc>
          <w:tcPr>
            <w:tcW w:w="228" w:type="pct"/>
            <w:shd w:val="clear" w:color="auto" w:fill="auto"/>
            <w:vAlign w:val="center"/>
          </w:tcPr>
          <w:p w14:paraId="3F7BBAC4" w14:textId="6E0F9882"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84" w:type="pct"/>
            <w:shd w:val="clear" w:color="auto" w:fill="auto"/>
            <w:vAlign w:val="center"/>
          </w:tcPr>
          <w:p w14:paraId="3202114F" w14:textId="27D859BE"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2" w:type="pct"/>
            <w:shd w:val="clear" w:color="auto" w:fill="auto"/>
            <w:vAlign w:val="center"/>
          </w:tcPr>
          <w:p w14:paraId="145EE209" w14:textId="016E8AE1"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1712410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25631A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FBC2B7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0DC2C8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9A41425" w14:textId="69BCAA45"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61AA9" w:rsidRPr="003D5E50" w14:paraId="34694AC6" w14:textId="77777777" w:rsidTr="00361AA9">
        <w:trPr>
          <w:trHeight w:val="1417"/>
        </w:trPr>
        <w:tc>
          <w:tcPr>
            <w:tcW w:w="228" w:type="pct"/>
            <w:shd w:val="clear" w:color="auto" w:fill="auto"/>
            <w:vAlign w:val="center"/>
          </w:tcPr>
          <w:p w14:paraId="224FAF86" w14:textId="30F065E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84" w:type="pct"/>
            <w:shd w:val="clear" w:color="auto" w:fill="auto"/>
            <w:vAlign w:val="center"/>
          </w:tcPr>
          <w:p w14:paraId="660D717B" w14:textId="695108F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2" w:type="pct"/>
            <w:shd w:val="clear" w:color="auto" w:fill="auto"/>
            <w:vAlign w:val="center"/>
          </w:tcPr>
          <w:p w14:paraId="2CC778AA" w14:textId="08D281FA"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B6CEAB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C749FC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1238651"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AE49B29" w14:textId="77777777" w:rsidR="00361AA9" w:rsidRPr="00BF2B8E"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F211D2D" w14:textId="36A8BF27" w:rsidR="00361AA9" w:rsidRPr="00BF2B8E" w:rsidRDefault="00361AA9" w:rsidP="00361AA9">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361AA9" w:rsidRPr="003D5E50" w14:paraId="16798473" w14:textId="77777777" w:rsidTr="00361AA9">
        <w:trPr>
          <w:trHeight w:val="1417"/>
        </w:trPr>
        <w:tc>
          <w:tcPr>
            <w:tcW w:w="228" w:type="pct"/>
            <w:shd w:val="clear" w:color="auto" w:fill="auto"/>
            <w:vAlign w:val="center"/>
          </w:tcPr>
          <w:p w14:paraId="0ED9FE5B" w14:textId="6F28C2FF"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84" w:type="pct"/>
            <w:shd w:val="clear" w:color="auto" w:fill="auto"/>
            <w:vAlign w:val="center"/>
          </w:tcPr>
          <w:p w14:paraId="1E849B2D" w14:textId="77777777"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361AA9" w:rsidRPr="00FD4945" w:rsidRDefault="00361AA9" w:rsidP="00361AA9">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361AA9" w:rsidRPr="00FD4945" w:rsidRDefault="00361AA9" w:rsidP="00361AA9">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361AA9" w:rsidRPr="00FD4945" w:rsidRDefault="00361AA9" w:rsidP="00361AA9">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361AA9" w:rsidRPr="00FD4945" w:rsidRDefault="00361AA9" w:rsidP="00361AA9">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2" w:type="pct"/>
            <w:shd w:val="clear" w:color="auto" w:fill="auto"/>
            <w:vAlign w:val="center"/>
          </w:tcPr>
          <w:p w14:paraId="77618E3C" w14:textId="0ED11C0E"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49A78D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51C049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EE7E465"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131FFF6" w14:textId="77777777" w:rsidR="00361AA9" w:rsidRPr="00BF2B8E"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C3E7BFF" w14:textId="132FEE16"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361AA9" w:rsidRPr="003D5E50" w14:paraId="472864A3" w14:textId="77777777" w:rsidTr="00361AA9">
        <w:trPr>
          <w:trHeight w:val="1417"/>
        </w:trPr>
        <w:tc>
          <w:tcPr>
            <w:tcW w:w="228" w:type="pct"/>
            <w:shd w:val="clear" w:color="auto" w:fill="auto"/>
            <w:vAlign w:val="center"/>
          </w:tcPr>
          <w:p w14:paraId="0A837F3A" w14:textId="301D7B46"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84" w:type="pct"/>
            <w:shd w:val="clear" w:color="auto" w:fill="auto"/>
            <w:vAlign w:val="center"/>
          </w:tcPr>
          <w:p w14:paraId="6C827E8B" w14:textId="77777777"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361AA9" w:rsidRPr="00FD4945" w:rsidRDefault="00361AA9" w:rsidP="00361AA9">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361AA9" w:rsidRPr="00FD4945" w:rsidRDefault="00361AA9" w:rsidP="00361AA9">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361AA9" w:rsidRPr="00FD4945" w:rsidRDefault="00361AA9" w:rsidP="00361AA9">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2" w:type="pct"/>
            <w:shd w:val="clear" w:color="auto" w:fill="auto"/>
            <w:vAlign w:val="center"/>
          </w:tcPr>
          <w:p w14:paraId="3396107E" w14:textId="072E07F7"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1F0380F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477AA1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DC457AB"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06420DF" w14:textId="77777777" w:rsidR="00361AA9" w:rsidRPr="00BF2B8E"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F46EC1E" w14:textId="1AAF9B2A"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361AA9" w:rsidRPr="00BF2B8E" w:rsidRDefault="00361AA9" w:rsidP="00361AA9">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361AA9" w:rsidRPr="003D5E50" w14:paraId="61334752" w14:textId="77777777" w:rsidTr="00361AA9">
        <w:trPr>
          <w:trHeight w:val="1417"/>
        </w:trPr>
        <w:tc>
          <w:tcPr>
            <w:tcW w:w="228" w:type="pct"/>
            <w:shd w:val="clear" w:color="auto" w:fill="auto"/>
            <w:vAlign w:val="center"/>
          </w:tcPr>
          <w:p w14:paraId="2C6CFDDD" w14:textId="05307F67"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84" w:type="pct"/>
            <w:shd w:val="clear" w:color="auto" w:fill="auto"/>
            <w:vAlign w:val="center"/>
          </w:tcPr>
          <w:p w14:paraId="0C08F4ED" w14:textId="68FFB170"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dato evidenza delle ragioni oggettive che lo giustificano?</w:t>
            </w:r>
          </w:p>
        </w:tc>
        <w:tc>
          <w:tcPr>
            <w:tcW w:w="192" w:type="pct"/>
            <w:shd w:val="clear" w:color="auto" w:fill="auto"/>
            <w:vAlign w:val="center"/>
          </w:tcPr>
          <w:p w14:paraId="684C81A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A175B4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D16A58A" w14:textId="0BF43369" w:rsidR="00361AA9" w:rsidRPr="003D5E50" w:rsidRDefault="008B6522"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8D96FAD"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89E4A2A" w14:textId="77777777" w:rsidR="00361AA9" w:rsidRPr="00BF2B8E"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0FBE8ED" w14:textId="77777777"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361AA9" w:rsidRPr="00BF2B8E" w:rsidRDefault="00361AA9" w:rsidP="00361AA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361AA9" w:rsidRPr="003D5E50" w14:paraId="4FC53690" w14:textId="77777777" w:rsidTr="00361AA9">
        <w:trPr>
          <w:trHeight w:val="1417"/>
        </w:trPr>
        <w:tc>
          <w:tcPr>
            <w:tcW w:w="228" w:type="pct"/>
            <w:shd w:val="clear" w:color="auto" w:fill="auto"/>
            <w:vAlign w:val="center"/>
          </w:tcPr>
          <w:p w14:paraId="1C42EF33" w14:textId="423C0005"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84" w:type="pct"/>
            <w:shd w:val="clear" w:color="auto" w:fill="auto"/>
            <w:vAlign w:val="center"/>
          </w:tcPr>
          <w:p w14:paraId="4EDF2708" w14:textId="3A8D3593"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61E93DE3"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BF8217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9283FE0" w14:textId="693EFDFB"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8273AF5"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40DA6E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21C1DA3" w14:textId="0A1319C1"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361AA9" w:rsidRPr="003D5E50" w14:paraId="3DC61FEC" w14:textId="77777777" w:rsidTr="00361AA9">
        <w:trPr>
          <w:trHeight w:val="1417"/>
        </w:trPr>
        <w:tc>
          <w:tcPr>
            <w:tcW w:w="228" w:type="pct"/>
            <w:shd w:val="clear" w:color="auto" w:fill="auto"/>
            <w:vAlign w:val="center"/>
          </w:tcPr>
          <w:p w14:paraId="0C6EB4BF" w14:textId="41670E03"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84" w:type="pct"/>
            <w:shd w:val="clear" w:color="auto" w:fill="auto"/>
            <w:vAlign w:val="center"/>
          </w:tcPr>
          <w:p w14:paraId="143E30D8" w14:textId="69C18D7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361AA9" w:rsidRPr="00FD4945" w:rsidRDefault="00361AA9" w:rsidP="00361AA9">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361AA9" w:rsidRPr="00FD4945" w:rsidRDefault="00361AA9" w:rsidP="00361AA9">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361AA9" w:rsidRPr="00FD4945" w:rsidRDefault="00361AA9" w:rsidP="00361AA9">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2" w:type="pct"/>
            <w:shd w:val="clear" w:color="auto" w:fill="auto"/>
            <w:vAlign w:val="center"/>
          </w:tcPr>
          <w:p w14:paraId="65B327E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50DBA42" w14:textId="77777777" w:rsidR="00361AA9" w:rsidRPr="00E755D9"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AAF2F73" w14:textId="30A285DD" w:rsidR="00361AA9" w:rsidRPr="00E755D9" w:rsidRDefault="00FA656A"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764" w:type="pct"/>
            <w:shd w:val="clear" w:color="auto" w:fill="auto"/>
            <w:vAlign w:val="center"/>
          </w:tcPr>
          <w:p w14:paraId="4DBC0E77"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283D43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4D66332" w14:textId="2F33E8A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361AA9" w:rsidRPr="003D5E50" w14:paraId="217A6248" w14:textId="77777777" w:rsidTr="00361AA9">
        <w:trPr>
          <w:trHeight w:val="1417"/>
        </w:trPr>
        <w:tc>
          <w:tcPr>
            <w:tcW w:w="228" w:type="pct"/>
            <w:shd w:val="clear" w:color="auto" w:fill="auto"/>
            <w:vAlign w:val="center"/>
          </w:tcPr>
          <w:p w14:paraId="48084D1D" w14:textId="276A156C"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84" w:type="pct"/>
            <w:shd w:val="clear" w:color="auto" w:fill="auto"/>
            <w:vAlign w:val="center"/>
          </w:tcPr>
          <w:p w14:paraId="01832516" w14:textId="1E2CAA4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1F325E6A" w14:textId="77777777" w:rsidR="00361AA9" w:rsidRPr="00E755D9"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A5CBC6F" w14:textId="77777777" w:rsidR="00361AA9" w:rsidRPr="00E755D9"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2B5CEF3" w14:textId="65F6368A" w:rsidR="00361AA9" w:rsidRPr="00E755D9" w:rsidRDefault="00FA656A"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764" w:type="pct"/>
            <w:shd w:val="clear" w:color="auto" w:fill="auto"/>
            <w:vAlign w:val="center"/>
          </w:tcPr>
          <w:p w14:paraId="13D0E944"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09196E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84A69EA" w14:textId="0508357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361AA9" w:rsidRPr="003D5E50" w14:paraId="58AE96C0" w14:textId="77777777" w:rsidTr="00361AA9">
        <w:trPr>
          <w:trHeight w:val="1417"/>
        </w:trPr>
        <w:tc>
          <w:tcPr>
            <w:tcW w:w="228" w:type="pct"/>
            <w:shd w:val="clear" w:color="auto" w:fill="auto"/>
            <w:vAlign w:val="center"/>
          </w:tcPr>
          <w:p w14:paraId="42B399B8" w14:textId="55E9A62F"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84" w:type="pct"/>
            <w:shd w:val="clear" w:color="auto" w:fill="auto"/>
            <w:vAlign w:val="center"/>
          </w:tcPr>
          <w:p w14:paraId="7F1CED4C" w14:textId="6B60379E"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92" w:type="pct"/>
            <w:shd w:val="clear" w:color="auto" w:fill="auto"/>
            <w:vAlign w:val="center"/>
          </w:tcPr>
          <w:p w14:paraId="13C88B6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F99900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136C4DE" w14:textId="3197425F"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D2B4333"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7FBDF17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F60B439" w14:textId="28ADF5AF"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361AA9" w:rsidRPr="003D5E50" w14:paraId="4B8A3ED1" w14:textId="77777777" w:rsidTr="00361AA9">
        <w:trPr>
          <w:trHeight w:val="1417"/>
        </w:trPr>
        <w:tc>
          <w:tcPr>
            <w:tcW w:w="228" w:type="pct"/>
            <w:shd w:val="clear" w:color="auto" w:fill="auto"/>
            <w:vAlign w:val="center"/>
          </w:tcPr>
          <w:p w14:paraId="50CDA2D9" w14:textId="029FFAAC"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84" w:type="pct"/>
            <w:shd w:val="clear" w:color="auto" w:fill="auto"/>
            <w:vAlign w:val="center"/>
          </w:tcPr>
          <w:p w14:paraId="7BED391E" w14:textId="75CED84C"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92" w:type="pct"/>
            <w:shd w:val="clear" w:color="auto" w:fill="auto"/>
            <w:vAlign w:val="center"/>
          </w:tcPr>
          <w:p w14:paraId="56B52F6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FE78343" w14:textId="77777777" w:rsidR="00361AA9" w:rsidRPr="00E755D9"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FA3982C" w14:textId="12DA021E" w:rsidR="00361AA9" w:rsidRPr="00E755D9" w:rsidRDefault="00FA656A"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764" w:type="pct"/>
            <w:shd w:val="clear" w:color="auto" w:fill="auto"/>
            <w:vAlign w:val="center"/>
          </w:tcPr>
          <w:p w14:paraId="7211D355"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0E54DC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7E4B1EA" w14:textId="3BD89014"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361AA9" w:rsidRPr="003D5E50" w14:paraId="395D9F2D" w14:textId="77777777" w:rsidTr="00361AA9">
        <w:trPr>
          <w:trHeight w:val="1417"/>
        </w:trPr>
        <w:tc>
          <w:tcPr>
            <w:tcW w:w="228" w:type="pct"/>
            <w:shd w:val="clear" w:color="auto" w:fill="auto"/>
            <w:vAlign w:val="center"/>
          </w:tcPr>
          <w:p w14:paraId="1465A071" w14:textId="49062AB9"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84" w:type="pct"/>
            <w:shd w:val="clear" w:color="auto" w:fill="auto"/>
            <w:vAlign w:val="center"/>
          </w:tcPr>
          <w:p w14:paraId="7F39B350" w14:textId="504FDF4A"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361AA9" w:rsidRPr="003D5E50" w:rsidRDefault="00361AA9" w:rsidP="00361AA9">
            <w:pPr>
              <w:spacing w:after="0" w:line="240" w:lineRule="auto"/>
              <w:rPr>
                <w:rFonts w:ascii="Garamond" w:eastAsia="Times New Roman" w:hAnsi="Garamond" w:cs="Times New Roman"/>
                <w:color w:val="000000"/>
                <w:lang w:eastAsia="it-IT"/>
              </w:rPr>
            </w:pPr>
          </w:p>
          <w:p w14:paraId="19C8C6BA" w14:textId="189C4D3B" w:rsidR="00361AA9" w:rsidRPr="003D5E50" w:rsidRDefault="00361AA9" w:rsidP="00361AA9">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2" w:type="pct"/>
            <w:shd w:val="clear" w:color="auto" w:fill="auto"/>
            <w:vAlign w:val="center"/>
          </w:tcPr>
          <w:p w14:paraId="467C7F79" w14:textId="2B7A9940" w:rsidR="00361AA9" w:rsidRPr="003D5E50" w:rsidRDefault="00E755D9"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31331DC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1090B98" w14:textId="7B57C3CA"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30E8C94"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033D2C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B09CE3B" w14:textId="42F7275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361AA9" w:rsidRPr="003D5E50" w14:paraId="729F0CAF" w14:textId="77777777" w:rsidTr="00361AA9">
        <w:trPr>
          <w:trHeight w:val="1417"/>
        </w:trPr>
        <w:tc>
          <w:tcPr>
            <w:tcW w:w="228" w:type="pct"/>
            <w:shd w:val="clear" w:color="auto" w:fill="auto"/>
            <w:vAlign w:val="center"/>
          </w:tcPr>
          <w:p w14:paraId="34048D3B" w14:textId="53B46CFE"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84" w:type="pct"/>
            <w:shd w:val="clear" w:color="auto" w:fill="auto"/>
            <w:vAlign w:val="center"/>
          </w:tcPr>
          <w:p w14:paraId="2DAAEAB9" w14:textId="269AC63B" w:rsidR="00361AA9" w:rsidRPr="003D5E50" w:rsidRDefault="00361AA9" w:rsidP="00361AA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92" w:type="pct"/>
            <w:shd w:val="clear" w:color="auto" w:fill="auto"/>
            <w:vAlign w:val="center"/>
          </w:tcPr>
          <w:p w14:paraId="10FB9054" w14:textId="7011F472" w:rsidR="00361AA9" w:rsidRPr="003D5E50" w:rsidRDefault="00E755D9"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1DDCA72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506602F" w14:textId="6EC30ACF"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0A4C80F"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C9BD13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9F722DC" w14:textId="30AFC941"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361AA9" w:rsidRPr="003D5E50" w14:paraId="1EA22686" w14:textId="77777777" w:rsidTr="00361AA9">
        <w:trPr>
          <w:trHeight w:val="1417"/>
        </w:trPr>
        <w:tc>
          <w:tcPr>
            <w:tcW w:w="228" w:type="pct"/>
            <w:shd w:val="clear" w:color="auto" w:fill="auto"/>
            <w:vAlign w:val="center"/>
          </w:tcPr>
          <w:p w14:paraId="2B35E364" w14:textId="0E385FE3"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84" w:type="pct"/>
            <w:shd w:val="clear" w:color="auto" w:fill="auto"/>
            <w:vAlign w:val="center"/>
          </w:tcPr>
          <w:p w14:paraId="4D614AD8" w14:textId="5EB5F2EA"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2" w:type="pct"/>
            <w:shd w:val="clear" w:color="auto" w:fill="auto"/>
            <w:vAlign w:val="center"/>
          </w:tcPr>
          <w:p w14:paraId="2881204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CC1100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5909F28" w14:textId="50C056D5"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8368770"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EF6BF9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B20A68D" w14:textId="609F83C2"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361AA9" w:rsidRPr="003D5E50" w14:paraId="6D5EE215" w14:textId="77777777" w:rsidTr="00361AA9">
        <w:trPr>
          <w:trHeight w:val="1417"/>
        </w:trPr>
        <w:tc>
          <w:tcPr>
            <w:tcW w:w="228" w:type="pct"/>
            <w:shd w:val="clear" w:color="auto" w:fill="auto"/>
            <w:vAlign w:val="center"/>
          </w:tcPr>
          <w:p w14:paraId="16215AE2" w14:textId="41EBD49B" w:rsidR="00361AA9" w:rsidRPr="003D5E50" w:rsidRDefault="00361AA9" w:rsidP="00361AA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84" w:type="pct"/>
            <w:shd w:val="clear" w:color="auto" w:fill="auto"/>
            <w:vAlign w:val="center"/>
          </w:tcPr>
          <w:p w14:paraId="18A84215" w14:textId="5BCFC136"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2" w:type="pct"/>
            <w:shd w:val="clear" w:color="auto" w:fill="auto"/>
            <w:vAlign w:val="center"/>
          </w:tcPr>
          <w:p w14:paraId="09FBD90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DC19A4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747E970" w14:textId="7DD00610"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CD33326"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D5DFAE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96EDE9C" w14:textId="6DB4C798"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361AA9" w:rsidRPr="003D5E50" w14:paraId="51C190AC" w14:textId="77777777" w:rsidTr="00361AA9">
        <w:trPr>
          <w:trHeight w:val="680"/>
        </w:trPr>
        <w:tc>
          <w:tcPr>
            <w:tcW w:w="228" w:type="pct"/>
            <w:shd w:val="clear" w:color="auto" w:fill="B8CCE4"/>
            <w:vAlign w:val="center"/>
          </w:tcPr>
          <w:p w14:paraId="26AE9D00" w14:textId="77777777" w:rsidR="00361AA9" w:rsidRPr="003D5E50" w:rsidRDefault="00361AA9" w:rsidP="00361AA9">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26" w:type="pct"/>
            <w:gridSpan w:val="7"/>
            <w:shd w:val="clear" w:color="auto" w:fill="B8CCE4"/>
            <w:vAlign w:val="center"/>
          </w:tcPr>
          <w:p w14:paraId="13C9BEF4" w14:textId="04B85543" w:rsidR="00361AA9" w:rsidRPr="003D5E50" w:rsidRDefault="00361AA9" w:rsidP="00361AA9">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6" w:type="pct"/>
            <w:shd w:val="clear" w:color="auto" w:fill="B8CCE4"/>
            <w:vAlign w:val="center"/>
          </w:tcPr>
          <w:p w14:paraId="3DAF41BA" w14:textId="77777777" w:rsidR="00361AA9" w:rsidRPr="003D5E50" w:rsidRDefault="00361AA9" w:rsidP="00361AA9">
            <w:pPr>
              <w:spacing w:after="0" w:line="240" w:lineRule="auto"/>
              <w:rPr>
                <w:rFonts w:ascii="Garamond" w:eastAsia="Times New Roman" w:hAnsi="Garamond" w:cs="Times New Roman"/>
                <w:b/>
                <w:bCs/>
                <w:lang w:eastAsia="it-IT"/>
              </w:rPr>
            </w:pPr>
          </w:p>
          <w:p w14:paraId="0779410F" w14:textId="77777777" w:rsidR="00361AA9" w:rsidRPr="003D5E50" w:rsidRDefault="00361AA9" w:rsidP="00361AA9">
            <w:pPr>
              <w:spacing w:after="0" w:line="240" w:lineRule="auto"/>
              <w:rPr>
                <w:rFonts w:ascii="Garamond" w:eastAsia="Times New Roman" w:hAnsi="Garamond" w:cs="Times New Roman"/>
                <w:b/>
                <w:bCs/>
                <w:lang w:eastAsia="it-IT"/>
              </w:rPr>
            </w:pPr>
          </w:p>
        </w:tc>
      </w:tr>
      <w:tr w:rsidR="00361AA9" w:rsidRPr="003D5E50" w14:paraId="06114DD6" w14:textId="77777777" w:rsidTr="00361AA9">
        <w:trPr>
          <w:trHeight w:val="1417"/>
        </w:trPr>
        <w:tc>
          <w:tcPr>
            <w:tcW w:w="228" w:type="pct"/>
            <w:shd w:val="clear" w:color="auto" w:fill="auto"/>
            <w:vAlign w:val="center"/>
          </w:tcPr>
          <w:p w14:paraId="0B400CB7" w14:textId="29A63B1E"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333474B0" w14:textId="65356D94"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E6D643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5AAA1D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E0FABB8" w14:textId="2D404DF6"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A3B79EC"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6C148E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0166443" w14:textId="0CF5BE01" w:rsidR="00361AA9" w:rsidRPr="005535AE" w:rsidRDefault="00361AA9" w:rsidP="00361AA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361AA9" w:rsidRPr="003D5E50" w14:paraId="68A9E46E" w14:textId="77777777" w:rsidTr="00361AA9">
        <w:trPr>
          <w:trHeight w:val="1417"/>
        </w:trPr>
        <w:tc>
          <w:tcPr>
            <w:tcW w:w="228" w:type="pct"/>
            <w:shd w:val="clear" w:color="auto" w:fill="auto"/>
            <w:vAlign w:val="center"/>
          </w:tcPr>
          <w:p w14:paraId="33D28306" w14:textId="73016D3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2DF95479" w14:textId="5F0FEA3C"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12A70E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439808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D042FCF" w14:textId="444E3124"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4AAC23B"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5EA4DD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8B8127C" w14:textId="52C01CC9" w:rsidR="00361AA9" w:rsidRPr="005535AE" w:rsidRDefault="00361AA9" w:rsidP="00361AA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361AA9" w:rsidRPr="003D5E50" w14:paraId="1036EAEB" w14:textId="77777777" w:rsidTr="00361AA9">
        <w:trPr>
          <w:trHeight w:val="1417"/>
        </w:trPr>
        <w:tc>
          <w:tcPr>
            <w:tcW w:w="228" w:type="pct"/>
            <w:shd w:val="clear" w:color="auto" w:fill="auto"/>
            <w:vAlign w:val="center"/>
          </w:tcPr>
          <w:p w14:paraId="6AF40B66" w14:textId="33356B7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84" w:type="pct"/>
            <w:shd w:val="clear" w:color="auto" w:fill="auto"/>
            <w:vAlign w:val="center"/>
          </w:tcPr>
          <w:p w14:paraId="2F663E71" w14:textId="543D6A74"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92" w:type="pct"/>
            <w:shd w:val="clear" w:color="auto" w:fill="auto"/>
            <w:vAlign w:val="center"/>
          </w:tcPr>
          <w:p w14:paraId="00764E9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5B1D30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1F92A55" w14:textId="123CF367"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ED9B0B4"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05CE19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646ABBA" w14:textId="7F9195A6" w:rsidR="00361AA9" w:rsidRPr="005535AE" w:rsidRDefault="00361AA9" w:rsidP="00361AA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361AA9" w:rsidRPr="003D5E50" w14:paraId="3C53F844" w14:textId="77777777" w:rsidTr="00361AA9">
        <w:trPr>
          <w:trHeight w:val="1417"/>
        </w:trPr>
        <w:tc>
          <w:tcPr>
            <w:tcW w:w="228" w:type="pct"/>
            <w:shd w:val="clear" w:color="auto" w:fill="auto"/>
            <w:vAlign w:val="center"/>
          </w:tcPr>
          <w:p w14:paraId="7CEBEC36" w14:textId="6AF14B96"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5C9EB2A2"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2" w:type="pct"/>
            <w:shd w:val="clear" w:color="auto" w:fill="auto"/>
            <w:vAlign w:val="center"/>
          </w:tcPr>
          <w:p w14:paraId="6916F84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13F9CC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06D643D" w14:textId="47526F70"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FAB66FB"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D9A778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9E8A022" w14:textId="3F56F43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361AA9" w:rsidRPr="003D5E50" w14:paraId="2CF22169" w14:textId="77777777" w:rsidTr="00361AA9">
        <w:trPr>
          <w:trHeight w:val="680"/>
        </w:trPr>
        <w:tc>
          <w:tcPr>
            <w:tcW w:w="228" w:type="pct"/>
            <w:shd w:val="clear" w:color="auto" w:fill="B8CCE4"/>
            <w:vAlign w:val="center"/>
          </w:tcPr>
          <w:p w14:paraId="08EB9E8B" w14:textId="0754DC7C" w:rsidR="00361AA9" w:rsidRPr="003D5E50" w:rsidRDefault="00361AA9" w:rsidP="00361AA9">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26" w:type="pct"/>
            <w:gridSpan w:val="7"/>
            <w:shd w:val="clear" w:color="auto" w:fill="B8CCE4"/>
            <w:vAlign w:val="center"/>
          </w:tcPr>
          <w:p w14:paraId="522DFCBB" w14:textId="77777777" w:rsidR="00361AA9" w:rsidRPr="003D5E50" w:rsidRDefault="00361AA9" w:rsidP="00361AA9">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6" w:type="pct"/>
            <w:shd w:val="clear" w:color="auto" w:fill="B8CCE4"/>
            <w:vAlign w:val="center"/>
          </w:tcPr>
          <w:p w14:paraId="494581A7" w14:textId="77777777" w:rsidR="00361AA9" w:rsidRPr="003D5E50" w:rsidRDefault="00361AA9" w:rsidP="00361AA9">
            <w:pPr>
              <w:spacing w:after="0" w:line="240" w:lineRule="auto"/>
              <w:rPr>
                <w:rFonts w:ascii="Garamond" w:eastAsia="Times New Roman" w:hAnsi="Garamond" w:cs="Times New Roman"/>
                <w:b/>
                <w:bCs/>
                <w:lang w:eastAsia="it-IT"/>
              </w:rPr>
            </w:pPr>
          </w:p>
          <w:p w14:paraId="0A8BB6D8" w14:textId="77777777" w:rsidR="00361AA9" w:rsidRPr="003D5E50" w:rsidRDefault="00361AA9" w:rsidP="00361AA9">
            <w:pPr>
              <w:spacing w:after="0" w:line="240" w:lineRule="auto"/>
              <w:rPr>
                <w:rFonts w:ascii="Garamond" w:eastAsia="Times New Roman" w:hAnsi="Garamond" w:cs="Times New Roman"/>
                <w:b/>
                <w:bCs/>
                <w:lang w:eastAsia="it-IT"/>
              </w:rPr>
            </w:pPr>
          </w:p>
        </w:tc>
      </w:tr>
      <w:tr w:rsidR="00361AA9" w:rsidRPr="003D5E50" w14:paraId="5FD12877" w14:textId="77777777" w:rsidTr="00361AA9">
        <w:trPr>
          <w:trHeight w:val="1417"/>
        </w:trPr>
        <w:tc>
          <w:tcPr>
            <w:tcW w:w="228" w:type="pct"/>
            <w:shd w:val="clear" w:color="auto" w:fill="auto"/>
            <w:vAlign w:val="center"/>
          </w:tcPr>
          <w:p w14:paraId="5FF881AC"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57050D62" w14:textId="4042A0EB" w:rsidR="00361AA9"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361AA9" w:rsidRDefault="00361AA9" w:rsidP="00361AA9">
            <w:pPr>
              <w:spacing w:after="0" w:line="240" w:lineRule="auto"/>
              <w:jc w:val="both"/>
              <w:rPr>
                <w:rFonts w:ascii="Garamond" w:eastAsia="Times New Roman" w:hAnsi="Garamond" w:cs="Times New Roman"/>
                <w:color w:val="000000"/>
                <w:lang w:eastAsia="it-IT"/>
              </w:rPr>
            </w:pPr>
          </w:p>
          <w:p w14:paraId="57A8FF1B" w14:textId="77777777" w:rsidR="00361AA9" w:rsidRDefault="00361AA9" w:rsidP="00361AA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361AA9" w:rsidRPr="003D5E50"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48FE73F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4B49BA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FC55C31" w14:textId="4089FE4B"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16EB8EA"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FB8BF4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D8DD6B7" w14:textId="1102546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361AA9" w:rsidRPr="003D5E50" w14:paraId="2CFFAB82" w14:textId="77777777" w:rsidTr="00361AA9">
        <w:trPr>
          <w:trHeight w:val="1417"/>
        </w:trPr>
        <w:tc>
          <w:tcPr>
            <w:tcW w:w="228" w:type="pct"/>
            <w:shd w:val="clear" w:color="auto" w:fill="auto"/>
            <w:vAlign w:val="center"/>
          </w:tcPr>
          <w:p w14:paraId="760A37E4"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010F1DCB"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2" w:type="pct"/>
            <w:shd w:val="clear" w:color="auto" w:fill="auto"/>
            <w:vAlign w:val="center"/>
          </w:tcPr>
          <w:p w14:paraId="3BF6A0E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F86B10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D4338CE" w14:textId="08ED5E96"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6E7250E"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C856B6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576BFD7" w14:textId="47F2B77D"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361AA9" w:rsidRPr="003D5E50" w14:paraId="69CA5DD3" w14:textId="77777777" w:rsidTr="00361AA9">
        <w:trPr>
          <w:trHeight w:val="1417"/>
        </w:trPr>
        <w:tc>
          <w:tcPr>
            <w:tcW w:w="228" w:type="pct"/>
            <w:shd w:val="clear" w:color="auto" w:fill="auto"/>
            <w:vAlign w:val="center"/>
          </w:tcPr>
          <w:p w14:paraId="67635F15"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84" w:type="pct"/>
            <w:shd w:val="clear" w:color="auto" w:fill="auto"/>
            <w:vAlign w:val="center"/>
          </w:tcPr>
          <w:p w14:paraId="6A43A60E" w14:textId="19E00AD5" w:rsidR="00361AA9" w:rsidRPr="003D5E50" w:rsidRDefault="00361AA9" w:rsidP="00361AA9">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2" w:type="pct"/>
            <w:shd w:val="clear" w:color="auto" w:fill="auto"/>
            <w:vAlign w:val="center"/>
          </w:tcPr>
          <w:p w14:paraId="404669D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8570F2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EED5841" w14:textId="15526415"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25FB6F1"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CFA02C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E4A8F13" w14:textId="77777777"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361AA9" w:rsidRPr="003D5E50" w14:paraId="059E601B" w14:textId="77777777" w:rsidTr="00361AA9">
        <w:trPr>
          <w:trHeight w:val="1417"/>
        </w:trPr>
        <w:tc>
          <w:tcPr>
            <w:tcW w:w="228" w:type="pct"/>
            <w:shd w:val="clear" w:color="auto" w:fill="auto"/>
            <w:vAlign w:val="center"/>
          </w:tcPr>
          <w:p w14:paraId="137E61CA"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727A38B4" w14:textId="57B5A581" w:rsidR="00361AA9" w:rsidRPr="003D5E50" w:rsidRDefault="00361AA9" w:rsidP="00361AA9">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2" w:type="pct"/>
            <w:shd w:val="clear" w:color="auto" w:fill="auto"/>
            <w:vAlign w:val="center"/>
          </w:tcPr>
          <w:p w14:paraId="55DE45A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B23FA7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E4C109A" w14:textId="14D626F7"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725C35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EC3501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5E5909A" w14:textId="4BBED7F5"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361AA9" w:rsidRPr="003D5E50" w14:paraId="70A772A4" w14:textId="77777777" w:rsidTr="00361AA9">
        <w:trPr>
          <w:trHeight w:val="842"/>
        </w:trPr>
        <w:tc>
          <w:tcPr>
            <w:tcW w:w="228" w:type="pct"/>
            <w:shd w:val="clear" w:color="auto" w:fill="auto"/>
            <w:vAlign w:val="center"/>
          </w:tcPr>
          <w:p w14:paraId="405B1525" w14:textId="33D4938C"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0146FE58" w14:textId="3F1696E6"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1B98178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4CBCAF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9377105" w14:textId="76A18115"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EF7768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68A6FC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7EFAC07"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2626D701" w14:textId="77777777" w:rsidTr="00361AA9">
        <w:trPr>
          <w:trHeight w:val="842"/>
        </w:trPr>
        <w:tc>
          <w:tcPr>
            <w:tcW w:w="228" w:type="pct"/>
            <w:shd w:val="clear" w:color="auto" w:fill="auto"/>
            <w:vAlign w:val="center"/>
          </w:tcPr>
          <w:p w14:paraId="3BEF3AE1" w14:textId="7D2D31E1"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63B29770" w14:textId="5BFE9E5E"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5688B63"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6B83DC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5274CA6" w14:textId="2CE1FB0A"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FB41CB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BBFBE2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5EFA8AE"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57107AD3" w14:textId="77777777" w:rsidTr="00361AA9">
        <w:trPr>
          <w:trHeight w:val="842"/>
        </w:trPr>
        <w:tc>
          <w:tcPr>
            <w:tcW w:w="228" w:type="pct"/>
            <w:shd w:val="clear" w:color="auto" w:fill="auto"/>
            <w:vAlign w:val="center"/>
          </w:tcPr>
          <w:p w14:paraId="6081CB4E" w14:textId="49DF84A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07F3F1AF" w14:textId="4787365B" w:rsidR="00361AA9" w:rsidRPr="00E755D9" w:rsidRDefault="00361AA9" w:rsidP="00361AA9">
            <w:pPr>
              <w:spacing w:after="0" w:line="240" w:lineRule="auto"/>
              <w:jc w:val="both"/>
              <w:rPr>
                <w:rFonts w:ascii="Garamond" w:eastAsia="Times New Roman" w:hAnsi="Garamond" w:cs="Times New Roman"/>
                <w:color w:val="000000"/>
                <w:lang w:eastAsia="it-IT"/>
              </w:rPr>
            </w:pPr>
            <w:r w:rsidRPr="00E755D9">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14:paraId="6E615AC8" w14:textId="5B0D6AEA" w:rsidR="00361AA9" w:rsidRPr="00E755D9" w:rsidRDefault="00361AA9" w:rsidP="00361AA9">
            <w:pPr>
              <w:spacing w:after="0" w:line="240" w:lineRule="auto"/>
              <w:jc w:val="both"/>
              <w:rPr>
                <w:rFonts w:ascii="Garamond" w:eastAsia="Times New Roman" w:hAnsi="Garamond" w:cs="Times New Roman"/>
                <w:color w:val="000000"/>
                <w:lang w:eastAsia="it-IT"/>
              </w:rPr>
            </w:pPr>
            <w:r w:rsidRPr="00E755D9">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192" w:type="pct"/>
            <w:shd w:val="clear" w:color="auto" w:fill="auto"/>
            <w:vAlign w:val="center"/>
          </w:tcPr>
          <w:p w14:paraId="27E496A1" w14:textId="68B2E25A" w:rsidR="00361AA9" w:rsidRPr="00E755D9" w:rsidRDefault="00FA656A" w:rsidP="00361AA9">
            <w:pPr>
              <w:spacing w:after="0" w:line="240" w:lineRule="auto"/>
              <w:rPr>
                <w:rFonts w:ascii="Garamond" w:eastAsia="Times New Roman" w:hAnsi="Garamond" w:cs="Times New Roman"/>
                <w:b/>
                <w:bCs/>
                <w:color w:val="000000"/>
                <w:lang w:eastAsia="it-IT"/>
              </w:rPr>
            </w:pPr>
            <w:r w:rsidRPr="00E755D9">
              <w:rPr>
                <w:rFonts w:ascii="Garamond" w:eastAsia="Times New Roman" w:hAnsi="Garamond" w:cs="Times New Roman"/>
                <w:b/>
                <w:bCs/>
                <w:color w:val="000000"/>
                <w:lang w:eastAsia="it-IT"/>
              </w:rPr>
              <w:t>X</w:t>
            </w:r>
          </w:p>
        </w:tc>
        <w:tc>
          <w:tcPr>
            <w:tcW w:w="233" w:type="pct"/>
            <w:shd w:val="clear" w:color="auto" w:fill="auto"/>
            <w:vAlign w:val="center"/>
          </w:tcPr>
          <w:p w14:paraId="07736E97" w14:textId="77777777" w:rsidR="00361AA9" w:rsidRPr="00FA656A" w:rsidRDefault="00361AA9" w:rsidP="00361AA9">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726650FF" w14:textId="07B0F934" w:rsidR="00361AA9" w:rsidRPr="00FA656A" w:rsidRDefault="00361AA9" w:rsidP="00361AA9">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5A3E450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EB7AF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E221306" w14:textId="3452B71B"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361AA9" w:rsidRPr="005535AE" w:rsidRDefault="00361AA9" w:rsidP="00361AA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361AA9" w:rsidRPr="003D5E50" w14:paraId="70FFADF7" w14:textId="77777777" w:rsidTr="00361AA9">
        <w:trPr>
          <w:trHeight w:val="842"/>
        </w:trPr>
        <w:tc>
          <w:tcPr>
            <w:tcW w:w="228" w:type="pct"/>
            <w:shd w:val="clear" w:color="auto" w:fill="auto"/>
            <w:vAlign w:val="center"/>
          </w:tcPr>
          <w:p w14:paraId="6B838AB5" w14:textId="1EF063D1"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84" w:type="pct"/>
            <w:shd w:val="clear" w:color="auto" w:fill="auto"/>
            <w:vAlign w:val="center"/>
          </w:tcPr>
          <w:p w14:paraId="306D3FB6" w14:textId="06BA510F" w:rsidR="00361AA9" w:rsidRPr="00BF2B8E" w:rsidRDefault="00361AA9" w:rsidP="00361AA9">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92" w:type="pct"/>
            <w:shd w:val="clear" w:color="auto" w:fill="auto"/>
            <w:vAlign w:val="center"/>
          </w:tcPr>
          <w:p w14:paraId="6A31E9A1" w14:textId="77777777" w:rsidR="00361AA9" w:rsidRPr="00BF2B8E"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7DCAE6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81AF132" w14:textId="66757634"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CA3CDD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31CF10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6B36D08" w14:textId="0CB7E006"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361AA9" w:rsidRPr="003D5E50" w14:paraId="359E852C" w14:textId="77777777" w:rsidTr="00361AA9">
        <w:trPr>
          <w:trHeight w:val="842"/>
        </w:trPr>
        <w:tc>
          <w:tcPr>
            <w:tcW w:w="228" w:type="pct"/>
            <w:shd w:val="clear" w:color="auto" w:fill="auto"/>
            <w:vAlign w:val="center"/>
          </w:tcPr>
          <w:p w14:paraId="27D99B2A" w14:textId="6D02FBF5"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62226C4D" w14:textId="413F136F"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DA1C234" w14:textId="4316E329"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21A424E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127730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173A7B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CF69DE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C139E9F" w14:textId="3602EA52"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361AA9" w:rsidRPr="003D5E50" w14:paraId="395D2E5B" w14:textId="77777777" w:rsidTr="00361AA9">
        <w:trPr>
          <w:trHeight w:val="1226"/>
        </w:trPr>
        <w:tc>
          <w:tcPr>
            <w:tcW w:w="228" w:type="pct"/>
            <w:shd w:val="clear" w:color="auto" w:fill="auto"/>
            <w:vAlign w:val="center"/>
          </w:tcPr>
          <w:p w14:paraId="1D67CB71" w14:textId="2688DF51"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31F47B74"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2" w:type="pct"/>
            <w:shd w:val="clear" w:color="auto" w:fill="auto"/>
            <w:vAlign w:val="center"/>
          </w:tcPr>
          <w:p w14:paraId="0B30DCF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C99E90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78E0164" w14:textId="60157D13"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DD854BC"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7F37905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1A9C7A8" w14:textId="54782287"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361AA9" w:rsidRPr="003D5E50" w14:paraId="472DDCF6" w14:textId="77777777" w:rsidTr="00361AA9">
        <w:trPr>
          <w:trHeight w:val="1030"/>
        </w:trPr>
        <w:tc>
          <w:tcPr>
            <w:tcW w:w="228" w:type="pct"/>
            <w:shd w:val="clear" w:color="auto" w:fill="auto"/>
            <w:vAlign w:val="center"/>
          </w:tcPr>
          <w:p w14:paraId="46C826FC" w14:textId="6BEBDCE5"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078C67CB"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2" w:type="pct"/>
            <w:shd w:val="clear" w:color="auto" w:fill="auto"/>
            <w:vAlign w:val="center"/>
          </w:tcPr>
          <w:p w14:paraId="30768CD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F0619D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81AA2CD" w14:textId="336C324C"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0E46DCF"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655882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A54EDA7" w14:textId="564F6163"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361AA9" w:rsidRPr="003D5E50" w14:paraId="6BBE21C4" w14:textId="77777777" w:rsidTr="00361AA9">
        <w:trPr>
          <w:trHeight w:val="988"/>
        </w:trPr>
        <w:tc>
          <w:tcPr>
            <w:tcW w:w="228" w:type="pct"/>
            <w:shd w:val="clear" w:color="auto" w:fill="auto"/>
            <w:vAlign w:val="center"/>
          </w:tcPr>
          <w:p w14:paraId="4582932C" w14:textId="52863F6A"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84" w:type="pct"/>
            <w:shd w:val="clear" w:color="auto" w:fill="auto"/>
            <w:vAlign w:val="center"/>
          </w:tcPr>
          <w:p w14:paraId="3D54D59A" w14:textId="06D11CF1" w:rsidR="00361AA9" w:rsidRPr="003D5E50" w:rsidRDefault="00361AA9" w:rsidP="00361AA9">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92" w:type="pct"/>
            <w:shd w:val="clear" w:color="auto" w:fill="auto"/>
            <w:vAlign w:val="center"/>
          </w:tcPr>
          <w:p w14:paraId="7A934DE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01FC83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E51D727" w14:textId="58D252C4"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4B7CAD7"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9ED498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F2AE5C9" w14:textId="137B006B"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361AA9" w:rsidRPr="003D5E50" w14:paraId="4F95A496" w14:textId="77777777" w:rsidTr="00361AA9">
        <w:trPr>
          <w:trHeight w:val="975"/>
        </w:trPr>
        <w:tc>
          <w:tcPr>
            <w:tcW w:w="228" w:type="pct"/>
            <w:shd w:val="clear" w:color="auto" w:fill="auto"/>
            <w:vAlign w:val="center"/>
          </w:tcPr>
          <w:p w14:paraId="78223C8F" w14:textId="033BB9E0"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84" w:type="pct"/>
            <w:shd w:val="clear" w:color="auto" w:fill="auto"/>
            <w:vAlign w:val="center"/>
          </w:tcPr>
          <w:p w14:paraId="547A2A91"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2" w:type="pct"/>
            <w:shd w:val="clear" w:color="auto" w:fill="auto"/>
            <w:vAlign w:val="center"/>
          </w:tcPr>
          <w:p w14:paraId="6DBFD6D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3A0D71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C691639" w14:textId="17BE1C25"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6868CCE"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2D49DA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1B17300" w14:textId="1E3552DE"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361AA9" w:rsidRPr="003D5E50" w14:paraId="18962C19" w14:textId="77777777" w:rsidTr="00361AA9">
        <w:trPr>
          <w:trHeight w:val="704"/>
        </w:trPr>
        <w:tc>
          <w:tcPr>
            <w:tcW w:w="228" w:type="pct"/>
            <w:shd w:val="clear" w:color="auto" w:fill="auto"/>
            <w:vAlign w:val="center"/>
          </w:tcPr>
          <w:p w14:paraId="3AD7E350" w14:textId="25567D39"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84" w:type="pct"/>
            <w:shd w:val="clear" w:color="auto" w:fill="auto"/>
            <w:vAlign w:val="center"/>
          </w:tcPr>
          <w:p w14:paraId="7A1AD15E" w14:textId="50785A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92" w:type="pct"/>
            <w:shd w:val="clear" w:color="auto" w:fill="auto"/>
            <w:vAlign w:val="center"/>
          </w:tcPr>
          <w:p w14:paraId="71DEF4F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687E4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0C11579" w14:textId="734A8357"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A61BF3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2F0749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F194C6F" w14:textId="5A2B62CA"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361AA9" w:rsidRPr="003D5E50" w14:paraId="03F6B725" w14:textId="77777777" w:rsidTr="00361AA9">
        <w:trPr>
          <w:trHeight w:val="680"/>
        </w:trPr>
        <w:tc>
          <w:tcPr>
            <w:tcW w:w="228" w:type="pct"/>
            <w:shd w:val="clear" w:color="auto" w:fill="B8CCE4"/>
            <w:vAlign w:val="center"/>
          </w:tcPr>
          <w:p w14:paraId="54267287" w14:textId="2457E015" w:rsidR="00361AA9" w:rsidRPr="003D5E50" w:rsidRDefault="00361AA9" w:rsidP="00361AA9">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426" w:type="pct"/>
            <w:gridSpan w:val="7"/>
            <w:shd w:val="clear" w:color="auto" w:fill="B8CCE4"/>
            <w:vAlign w:val="center"/>
          </w:tcPr>
          <w:p w14:paraId="62048EC4" w14:textId="77777777" w:rsidR="00361AA9" w:rsidRPr="003D5E50" w:rsidRDefault="00361AA9" w:rsidP="00361AA9">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6" w:type="pct"/>
            <w:shd w:val="clear" w:color="auto" w:fill="B8CCE4"/>
            <w:vAlign w:val="center"/>
          </w:tcPr>
          <w:p w14:paraId="63E5DA5B" w14:textId="77777777" w:rsidR="00361AA9" w:rsidRPr="003D5E50" w:rsidRDefault="00361AA9" w:rsidP="00361AA9">
            <w:pPr>
              <w:spacing w:after="0" w:line="240" w:lineRule="auto"/>
              <w:rPr>
                <w:rFonts w:ascii="Garamond" w:eastAsia="Times New Roman" w:hAnsi="Garamond" w:cs="Times New Roman"/>
                <w:b/>
                <w:bCs/>
                <w:lang w:eastAsia="it-IT"/>
              </w:rPr>
            </w:pPr>
          </w:p>
        </w:tc>
      </w:tr>
      <w:tr w:rsidR="00361AA9" w:rsidRPr="003D5E50" w14:paraId="2E8357A5" w14:textId="77777777" w:rsidTr="00361AA9">
        <w:trPr>
          <w:trHeight w:val="1417"/>
        </w:trPr>
        <w:tc>
          <w:tcPr>
            <w:tcW w:w="228" w:type="pct"/>
            <w:shd w:val="clear" w:color="auto" w:fill="auto"/>
            <w:vAlign w:val="center"/>
          </w:tcPr>
          <w:p w14:paraId="2ADCB101"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6F7F2D6E" w14:textId="586AD8F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CFECC6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5F42D3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377477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1FD4159" w14:textId="79DE9D8E"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Da stipulare</w:t>
            </w:r>
          </w:p>
        </w:tc>
        <w:tc>
          <w:tcPr>
            <w:tcW w:w="392" w:type="pct"/>
            <w:shd w:val="clear" w:color="auto" w:fill="auto"/>
            <w:vAlign w:val="center"/>
          </w:tcPr>
          <w:p w14:paraId="4BC0D81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02F8FC6" w14:textId="7804B02F"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61AA9" w:rsidRPr="003D5E50" w14:paraId="226CD63E" w14:textId="77777777" w:rsidTr="00361AA9">
        <w:trPr>
          <w:trHeight w:val="1030"/>
        </w:trPr>
        <w:tc>
          <w:tcPr>
            <w:tcW w:w="228" w:type="pct"/>
            <w:shd w:val="clear" w:color="auto" w:fill="auto"/>
            <w:vAlign w:val="center"/>
          </w:tcPr>
          <w:p w14:paraId="7FC61EE4"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18B86431" w14:textId="77777777" w:rsidR="00361AA9"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361AA9" w:rsidRDefault="00361AA9" w:rsidP="00361AA9">
            <w:pPr>
              <w:spacing w:after="0" w:line="240" w:lineRule="auto"/>
              <w:jc w:val="both"/>
              <w:rPr>
                <w:rFonts w:ascii="Garamond" w:eastAsia="Times New Roman" w:hAnsi="Garamond" w:cs="Times New Roman"/>
                <w:color w:val="000000"/>
                <w:lang w:eastAsia="it-IT"/>
              </w:rPr>
            </w:pPr>
          </w:p>
          <w:p w14:paraId="2FC35535" w14:textId="77777777" w:rsidR="00361AA9" w:rsidRDefault="00361AA9" w:rsidP="00361AA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361AA9" w:rsidRPr="003D5E50"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75E13F3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D43BA5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0A50517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652A62A" w14:textId="03C796FE" w:rsidR="00361AA9" w:rsidRPr="003D5E50" w:rsidRDefault="00FA656A"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Da stipulare</w:t>
            </w:r>
          </w:p>
        </w:tc>
        <w:tc>
          <w:tcPr>
            <w:tcW w:w="392" w:type="pct"/>
            <w:shd w:val="clear" w:color="auto" w:fill="auto"/>
            <w:vAlign w:val="center"/>
          </w:tcPr>
          <w:p w14:paraId="6BBD61D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B60357F" w14:textId="04041726"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61AA9" w:rsidRPr="003D5E50" w14:paraId="55D95875" w14:textId="77777777" w:rsidTr="00361AA9">
        <w:trPr>
          <w:trHeight w:val="1172"/>
        </w:trPr>
        <w:tc>
          <w:tcPr>
            <w:tcW w:w="228" w:type="pct"/>
            <w:shd w:val="clear" w:color="auto" w:fill="auto"/>
            <w:vAlign w:val="center"/>
          </w:tcPr>
          <w:p w14:paraId="4463C2AB"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422FF229" w14:textId="219F9CD1"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92" w:type="pct"/>
            <w:shd w:val="clear" w:color="auto" w:fill="auto"/>
            <w:vAlign w:val="center"/>
          </w:tcPr>
          <w:p w14:paraId="4469F92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087C9A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644FAA89" w14:textId="208E10E9"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F4E43AD" w14:textId="73A1C84C"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88731F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595B790" w14:textId="44FF7028"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61AA9" w:rsidRPr="003D5E50" w14:paraId="7038D0C2" w14:textId="77777777" w:rsidTr="00361AA9">
        <w:trPr>
          <w:trHeight w:val="834"/>
        </w:trPr>
        <w:tc>
          <w:tcPr>
            <w:tcW w:w="228" w:type="pct"/>
            <w:shd w:val="clear" w:color="auto" w:fill="auto"/>
            <w:vAlign w:val="center"/>
          </w:tcPr>
          <w:p w14:paraId="0E236476"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188E112E" w14:textId="77777777" w:rsidR="00361AA9"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361AA9" w:rsidRDefault="00361AA9" w:rsidP="00361AA9">
            <w:pPr>
              <w:spacing w:after="0" w:line="240" w:lineRule="auto"/>
              <w:jc w:val="both"/>
              <w:rPr>
                <w:rFonts w:ascii="Garamond" w:eastAsia="Times New Roman" w:hAnsi="Garamond" w:cs="Times New Roman"/>
                <w:color w:val="000000"/>
                <w:lang w:eastAsia="it-IT"/>
              </w:rPr>
            </w:pPr>
          </w:p>
          <w:p w14:paraId="5D3F1E8F" w14:textId="77777777" w:rsidR="00361AA9" w:rsidRDefault="00361AA9" w:rsidP="00361AA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361AA9" w:rsidRPr="003D5E50" w:rsidRDefault="00361AA9" w:rsidP="00361AA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50134B3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F390AB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A5C0B5C" w14:textId="052B8128"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82C80D7" w14:textId="171D5C25"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E57AFB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44FBEF3E" w14:textId="3AD9F801"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61AA9" w:rsidRPr="003D5E50" w14:paraId="199D627A" w14:textId="77777777" w:rsidTr="00361AA9">
        <w:trPr>
          <w:trHeight w:val="834"/>
        </w:trPr>
        <w:tc>
          <w:tcPr>
            <w:tcW w:w="228" w:type="pct"/>
            <w:shd w:val="clear" w:color="auto" w:fill="auto"/>
            <w:vAlign w:val="center"/>
          </w:tcPr>
          <w:p w14:paraId="4EAD8BE6"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5DD9D510" w14:textId="6471404B"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361AA9" w:rsidRPr="003D5E50" w:rsidRDefault="00361AA9" w:rsidP="00361AA9">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92" w:type="pct"/>
            <w:shd w:val="clear" w:color="auto" w:fill="auto"/>
            <w:vAlign w:val="center"/>
          </w:tcPr>
          <w:p w14:paraId="1F7ADE9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7BA856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99C7085" w14:textId="5C64ACF0"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1958FAE" w14:textId="77777777" w:rsidR="00361AA9" w:rsidRPr="003D5E50" w:rsidRDefault="00361AA9" w:rsidP="00361AA9">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1B5FF9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7E1B4DF2" w14:textId="18834358" w:rsidR="00361AA9" w:rsidRPr="003D5E50" w:rsidRDefault="00361AA9"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361AA9"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361AA9" w:rsidRPr="003D5E50" w14:paraId="6E2BAE7F" w14:textId="77777777" w:rsidTr="00361AA9">
        <w:trPr>
          <w:trHeight w:val="821"/>
        </w:trPr>
        <w:tc>
          <w:tcPr>
            <w:tcW w:w="228" w:type="pct"/>
            <w:shd w:val="clear" w:color="auto" w:fill="auto"/>
            <w:vAlign w:val="center"/>
          </w:tcPr>
          <w:p w14:paraId="45D7A84E"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7D6084D6"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361AA9" w:rsidRPr="003D5E50" w:rsidRDefault="00361AA9" w:rsidP="00361AA9">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361AA9" w:rsidRPr="003D5E50" w:rsidRDefault="00361AA9" w:rsidP="00361AA9">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361AA9" w:rsidRPr="003D5E50" w:rsidRDefault="00361AA9" w:rsidP="00361AA9">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361AA9" w:rsidRPr="003D5E50" w:rsidRDefault="00361AA9" w:rsidP="00361AA9">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361AA9" w:rsidRPr="003D5E50" w:rsidRDefault="00361AA9" w:rsidP="00361AA9">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92" w:type="pct"/>
            <w:shd w:val="clear" w:color="auto" w:fill="auto"/>
            <w:vAlign w:val="center"/>
          </w:tcPr>
          <w:p w14:paraId="1D45935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32A92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F90259E" w14:textId="1D4B678E"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800002E" w14:textId="77777777" w:rsidR="00361AA9" w:rsidRPr="003D5E50" w:rsidRDefault="00361AA9" w:rsidP="00361AA9">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392" w:type="pct"/>
            <w:shd w:val="clear" w:color="auto" w:fill="auto"/>
            <w:vAlign w:val="center"/>
          </w:tcPr>
          <w:p w14:paraId="7313C01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7BE562D" w14:textId="0EA4019C"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361AA9" w:rsidRPr="003D5E50" w14:paraId="72A3E79A" w14:textId="77777777" w:rsidTr="00361AA9">
        <w:trPr>
          <w:trHeight w:val="1417"/>
        </w:trPr>
        <w:tc>
          <w:tcPr>
            <w:tcW w:w="228" w:type="pct"/>
            <w:shd w:val="clear" w:color="auto" w:fill="auto"/>
            <w:vAlign w:val="center"/>
          </w:tcPr>
          <w:p w14:paraId="1CD22E28"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46417D49" w14:textId="0ED51AE1"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2" w:type="pct"/>
            <w:shd w:val="clear" w:color="auto" w:fill="auto"/>
            <w:vAlign w:val="center"/>
          </w:tcPr>
          <w:p w14:paraId="597041A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294296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4904CD3A" w14:textId="06699FAB"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841F320" w14:textId="72B09E20"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Da stipulare</w:t>
            </w:r>
          </w:p>
        </w:tc>
        <w:tc>
          <w:tcPr>
            <w:tcW w:w="392" w:type="pct"/>
            <w:shd w:val="clear" w:color="auto" w:fill="auto"/>
            <w:vAlign w:val="center"/>
          </w:tcPr>
          <w:p w14:paraId="7518F04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8C6FC4E" w14:textId="2DA9D227" w:rsidR="00361AA9" w:rsidRPr="003D5E50" w:rsidRDefault="00361AA9"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361AA9" w:rsidRPr="003D5E50" w14:paraId="10891500" w14:textId="77777777" w:rsidTr="00361AA9">
        <w:trPr>
          <w:trHeight w:val="1417"/>
        </w:trPr>
        <w:tc>
          <w:tcPr>
            <w:tcW w:w="228" w:type="pct"/>
            <w:shd w:val="clear" w:color="auto" w:fill="auto"/>
            <w:vAlign w:val="center"/>
          </w:tcPr>
          <w:p w14:paraId="14F8EF44"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84" w:type="pct"/>
            <w:shd w:val="clear" w:color="auto" w:fill="auto"/>
            <w:vAlign w:val="center"/>
          </w:tcPr>
          <w:p w14:paraId="2CFFC1F8" w14:textId="1CF4BC00"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92" w:type="pct"/>
            <w:shd w:val="clear" w:color="auto" w:fill="auto"/>
            <w:vAlign w:val="center"/>
          </w:tcPr>
          <w:p w14:paraId="6AC11EC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DC5E64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C1EDCB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7058263" w14:textId="17E208A0" w:rsidR="00361AA9" w:rsidRPr="003D5E50" w:rsidRDefault="007F71C5" w:rsidP="00361AA9">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Da stipulare</w:t>
            </w:r>
          </w:p>
        </w:tc>
        <w:tc>
          <w:tcPr>
            <w:tcW w:w="392" w:type="pct"/>
            <w:shd w:val="clear" w:color="auto" w:fill="auto"/>
            <w:vAlign w:val="center"/>
          </w:tcPr>
          <w:p w14:paraId="3967F53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43641D9" w14:textId="2F134E46"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361AA9" w:rsidRPr="003D5E50" w14:paraId="31FDAE5F" w14:textId="77777777" w:rsidTr="00361AA9">
        <w:trPr>
          <w:trHeight w:val="1417"/>
        </w:trPr>
        <w:tc>
          <w:tcPr>
            <w:tcW w:w="228" w:type="pct"/>
            <w:shd w:val="clear" w:color="auto" w:fill="auto"/>
            <w:vAlign w:val="center"/>
          </w:tcPr>
          <w:p w14:paraId="75F75B71"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2D7BF1F7" w14:textId="3D10971C"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92" w:type="pct"/>
            <w:shd w:val="clear" w:color="auto" w:fill="auto"/>
            <w:vAlign w:val="center"/>
          </w:tcPr>
          <w:p w14:paraId="06FE6A93" w14:textId="55719620"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6" w:type="pct"/>
            <w:gridSpan w:val="2"/>
            <w:shd w:val="clear" w:color="auto" w:fill="auto"/>
            <w:vAlign w:val="center"/>
          </w:tcPr>
          <w:p w14:paraId="694B34B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05320383"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ABD6073"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E2A0DE4"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2E63D62C" w14:textId="37708FCF"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361AA9" w:rsidRPr="003D5E50" w14:paraId="0B8A5918" w14:textId="77777777" w:rsidTr="00361AA9">
        <w:trPr>
          <w:trHeight w:val="1417"/>
        </w:trPr>
        <w:tc>
          <w:tcPr>
            <w:tcW w:w="228" w:type="pct"/>
            <w:shd w:val="clear" w:color="auto" w:fill="auto"/>
            <w:vAlign w:val="center"/>
          </w:tcPr>
          <w:p w14:paraId="6C174574"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53D07644" w14:textId="749BC735" w:rsidR="00361AA9" w:rsidRPr="003D5E50" w:rsidRDefault="00361AA9" w:rsidP="00361AA9">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F55E3B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D0EF672"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6211482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C0A1114" w14:textId="5B49A907"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Da stipulare</w:t>
            </w:r>
          </w:p>
        </w:tc>
        <w:tc>
          <w:tcPr>
            <w:tcW w:w="392" w:type="pct"/>
            <w:shd w:val="clear" w:color="auto" w:fill="auto"/>
            <w:vAlign w:val="center"/>
          </w:tcPr>
          <w:p w14:paraId="393E115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D2C3816" w14:textId="3634179A"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361AA9" w:rsidRPr="003D5E50" w14:paraId="14F02A62" w14:textId="77777777" w:rsidTr="00361AA9">
        <w:trPr>
          <w:trHeight w:val="605"/>
        </w:trPr>
        <w:tc>
          <w:tcPr>
            <w:tcW w:w="228" w:type="pct"/>
            <w:shd w:val="clear" w:color="auto" w:fill="auto"/>
            <w:vAlign w:val="center"/>
          </w:tcPr>
          <w:p w14:paraId="5588A3F7" w14:textId="77777777"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7607280C" w14:textId="0E8A4EFA"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2" w:type="pct"/>
            <w:shd w:val="clear" w:color="auto" w:fill="auto"/>
            <w:vAlign w:val="center"/>
          </w:tcPr>
          <w:p w14:paraId="0B98551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E05093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23FE6E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8A67C3" w14:textId="60AD226B"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Da stipulare</w:t>
            </w:r>
          </w:p>
        </w:tc>
        <w:tc>
          <w:tcPr>
            <w:tcW w:w="392" w:type="pct"/>
            <w:shd w:val="clear" w:color="auto" w:fill="auto"/>
            <w:vAlign w:val="center"/>
          </w:tcPr>
          <w:p w14:paraId="70BB8BF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634716D" w14:textId="2356BFEB"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361AA9" w:rsidRPr="003D5E50" w14:paraId="1130C6B1" w14:textId="77777777" w:rsidTr="00361AA9">
        <w:trPr>
          <w:trHeight w:val="605"/>
        </w:trPr>
        <w:tc>
          <w:tcPr>
            <w:tcW w:w="228" w:type="pct"/>
            <w:shd w:val="clear" w:color="auto" w:fill="auto"/>
            <w:vAlign w:val="center"/>
          </w:tcPr>
          <w:p w14:paraId="275ABC91" w14:textId="28FFF49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84" w:type="pct"/>
            <w:shd w:val="clear" w:color="auto" w:fill="auto"/>
            <w:vAlign w:val="center"/>
          </w:tcPr>
          <w:p w14:paraId="607BC435" w14:textId="77777777"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361AA9" w:rsidRPr="00FD4945" w:rsidRDefault="00361AA9" w:rsidP="00361AA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361AA9" w:rsidRPr="00FD4945" w:rsidRDefault="00361AA9" w:rsidP="00361AA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dalla CCIAA o da altro documento si evince il potere di firma in capo all’operatore economico?</w:t>
            </w:r>
          </w:p>
          <w:p w14:paraId="4496D28A" w14:textId="39A0CB2B" w:rsidR="00361AA9" w:rsidRPr="00FD4945" w:rsidRDefault="00361AA9" w:rsidP="00361AA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361AA9" w:rsidRPr="00FD4945" w:rsidRDefault="00361AA9" w:rsidP="00361AA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92" w:type="pct"/>
            <w:shd w:val="clear" w:color="auto" w:fill="auto"/>
            <w:vAlign w:val="center"/>
          </w:tcPr>
          <w:p w14:paraId="3D4AD54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AE5C3E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B99B2C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26CAD80" w14:textId="2A327043" w:rsidR="00361AA9" w:rsidRPr="003D5E50" w:rsidRDefault="00361AA9" w:rsidP="00361AA9">
            <w:pPr>
              <w:spacing w:after="0" w:line="240" w:lineRule="auto"/>
              <w:rPr>
                <w:rFonts w:ascii="Garamond" w:eastAsia="Times New Roman" w:hAnsi="Garamond" w:cs="Times New Roman"/>
                <w:b/>
                <w:bCs/>
                <w:color w:val="000000"/>
                <w:lang w:eastAsia="it-IT"/>
              </w:rPr>
            </w:pPr>
            <w:bookmarkStart w:id="0" w:name="_GoBack"/>
            <w:bookmarkEnd w:id="0"/>
          </w:p>
        </w:tc>
        <w:tc>
          <w:tcPr>
            <w:tcW w:w="392" w:type="pct"/>
            <w:shd w:val="clear" w:color="auto" w:fill="auto"/>
            <w:vAlign w:val="center"/>
          </w:tcPr>
          <w:p w14:paraId="0E48D13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A8F9416"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695BF635" w14:textId="77777777" w:rsidTr="00361AA9">
        <w:trPr>
          <w:trHeight w:val="680"/>
        </w:trPr>
        <w:tc>
          <w:tcPr>
            <w:tcW w:w="228" w:type="pct"/>
            <w:shd w:val="clear" w:color="auto" w:fill="B8CCE4"/>
            <w:vAlign w:val="center"/>
          </w:tcPr>
          <w:p w14:paraId="5C96A587" w14:textId="539B5027" w:rsidR="00361AA9" w:rsidRPr="003D5E50" w:rsidRDefault="00361AA9" w:rsidP="00361AA9">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26" w:type="pct"/>
            <w:gridSpan w:val="7"/>
            <w:shd w:val="clear" w:color="auto" w:fill="B8CCE4"/>
            <w:vAlign w:val="center"/>
          </w:tcPr>
          <w:p w14:paraId="1A59012A" w14:textId="77777777" w:rsidR="00361AA9" w:rsidRPr="003D5E50" w:rsidRDefault="00361AA9" w:rsidP="00361AA9">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6" w:type="pct"/>
            <w:shd w:val="clear" w:color="auto" w:fill="B8CCE4"/>
            <w:vAlign w:val="center"/>
          </w:tcPr>
          <w:p w14:paraId="638E68EB" w14:textId="77777777" w:rsidR="00361AA9" w:rsidRPr="003D5E50" w:rsidRDefault="00361AA9" w:rsidP="00361AA9">
            <w:pPr>
              <w:spacing w:after="0" w:line="240" w:lineRule="auto"/>
              <w:rPr>
                <w:rFonts w:ascii="Garamond" w:eastAsia="Times New Roman" w:hAnsi="Garamond" w:cs="Times New Roman"/>
                <w:b/>
                <w:bCs/>
                <w:lang w:eastAsia="it-IT"/>
              </w:rPr>
            </w:pPr>
          </w:p>
        </w:tc>
      </w:tr>
      <w:tr w:rsidR="00361AA9" w:rsidRPr="003D5E50" w14:paraId="42B09D63" w14:textId="77777777" w:rsidTr="00361AA9">
        <w:trPr>
          <w:trHeight w:val="1073"/>
        </w:trPr>
        <w:tc>
          <w:tcPr>
            <w:tcW w:w="228" w:type="pct"/>
            <w:shd w:val="clear" w:color="auto" w:fill="auto"/>
            <w:vAlign w:val="center"/>
          </w:tcPr>
          <w:p w14:paraId="0CF156FD" w14:textId="2D6121B0"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21A2E6DA" w14:textId="4081E4B0"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92" w:type="pct"/>
            <w:shd w:val="clear" w:color="auto" w:fill="auto"/>
            <w:vAlign w:val="center"/>
          </w:tcPr>
          <w:p w14:paraId="017F02D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09D2DE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8F5CB8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88F0279" w14:textId="08476403"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215EE57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096C281" w14:textId="0FA7B298"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361AA9" w:rsidRPr="003D5E50" w14:paraId="06F8DF74" w14:textId="77777777" w:rsidTr="00361AA9">
        <w:trPr>
          <w:trHeight w:val="1073"/>
        </w:trPr>
        <w:tc>
          <w:tcPr>
            <w:tcW w:w="228" w:type="pct"/>
            <w:shd w:val="clear" w:color="auto" w:fill="auto"/>
            <w:vAlign w:val="center"/>
          </w:tcPr>
          <w:p w14:paraId="08012C3E" w14:textId="67EB6EB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300B09F6" w14:textId="5DABB04C" w:rsidR="00361AA9" w:rsidRPr="003D5E50" w:rsidRDefault="00361AA9" w:rsidP="00361AA9">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92" w:type="pct"/>
            <w:shd w:val="clear" w:color="auto" w:fill="auto"/>
            <w:vAlign w:val="center"/>
          </w:tcPr>
          <w:p w14:paraId="3289E82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F9AF19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632D8C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7B39A5F" w14:textId="4B3AA288"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1035F1F3"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08FBD0A" w14:textId="573164DF"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361AA9" w:rsidRPr="003D5E50" w14:paraId="570357C8" w14:textId="77777777" w:rsidTr="00361AA9">
        <w:trPr>
          <w:trHeight w:val="605"/>
        </w:trPr>
        <w:tc>
          <w:tcPr>
            <w:tcW w:w="228" w:type="pct"/>
            <w:shd w:val="clear" w:color="auto" w:fill="auto"/>
            <w:vAlign w:val="center"/>
          </w:tcPr>
          <w:p w14:paraId="14A10912" w14:textId="4E02E926"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00E5C1E9" w14:textId="2909BCC2"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094CB29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E6D249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C22742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0CDC856" w14:textId="237A1F83"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218B8DD8"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01CD6207" w14:textId="3B302613"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361AA9" w:rsidRPr="00FD4945" w:rsidRDefault="00361AA9" w:rsidP="00361AA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361AA9" w:rsidRPr="003D5E50" w14:paraId="38358DC5" w14:textId="77777777" w:rsidTr="00361AA9">
        <w:trPr>
          <w:trHeight w:val="605"/>
        </w:trPr>
        <w:tc>
          <w:tcPr>
            <w:tcW w:w="228" w:type="pct"/>
            <w:shd w:val="clear" w:color="auto" w:fill="auto"/>
            <w:vAlign w:val="center"/>
          </w:tcPr>
          <w:p w14:paraId="6FC7A087" w14:textId="778DBB0B"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58665720" w14:textId="0E726FD3"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92" w:type="pct"/>
            <w:shd w:val="clear" w:color="auto" w:fill="auto"/>
            <w:vAlign w:val="center"/>
          </w:tcPr>
          <w:p w14:paraId="692938A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D6FF45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AFE00A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D6CE0E8" w14:textId="1F17B1D8"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54FD326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08422BE"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2274C236" w14:textId="77777777" w:rsidTr="00361AA9">
        <w:trPr>
          <w:trHeight w:val="605"/>
        </w:trPr>
        <w:tc>
          <w:tcPr>
            <w:tcW w:w="228" w:type="pct"/>
            <w:shd w:val="clear" w:color="auto" w:fill="auto"/>
            <w:vAlign w:val="center"/>
          </w:tcPr>
          <w:p w14:paraId="39D4B6D4" w14:textId="134D8910"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3076AA80" w14:textId="5D0BE145"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92" w:type="pct"/>
            <w:shd w:val="clear" w:color="auto" w:fill="auto"/>
            <w:vAlign w:val="center"/>
          </w:tcPr>
          <w:p w14:paraId="5377AEEA"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17E2C9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0824233"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0327D17" w14:textId="6B0E695B"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1BF597A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37C883CB"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12A60DCE" w14:textId="77777777" w:rsidTr="00361AA9">
        <w:trPr>
          <w:trHeight w:val="605"/>
        </w:trPr>
        <w:tc>
          <w:tcPr>
            <w:tcW w:w="228" w:type="pct"/>
            <w:shd w:val="clear" w:color="auto" w:fill="auto"/>
            <w:vAlign w:val="center"/>
          </w:tcPr>
          <w:p w14:paraId="51CEBE16" w14:textId="208FEC3A"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84" w:type="pct"/>
            <w:shd w:val="clear" w:color="auto" w:fill="auto"/>
            <w:vAlign w:val="center"/>
          </w:tcPr>
          <w:p w14:paraId="035F2804" w14:textId="5B7861BC"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2" w:type="pct"/>
            <w:shd w:val="clear" w:color="auto" w:fill="auto"/>
            <w:vAlign w:val="center"/>
          </w:tcPr>
          <w:p w14:paraId="748EC2A5"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3CE1FB1"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35A2846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6BEE2C6" w14:textId="22ECC99D"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540EA0F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5042182B"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68AD211E" w14:textId="77777777" w:rsidTr="00361AA9">
        <w:trPr>
          <w:trHeight w:val="605"/>
        </w:trPr>
        <w:tc>
          <w:tcPr>
            <w:tcW w:w="228" w:type="pct"/>
            <w:shd w:val="clear" w:color="auto" w:fill="auto"/>
            <w:vAlign w:val="center"/>
          </w:tcPr>
          <w:p w14:paraId="00403FEA" w14:textId="4C663680"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3BE094AD" w14:textId="56C76DC7"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92" w:type="pct"/>
            <w:shd w:val="clear" w:color="auto" w:fill="auto"/>
            <w:vAlign w:val="center"/>
          </w:tcPr>
          <w:p w14:paraId="31B4922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758D50F"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5F2A54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8BC3065" w14:textId="70FF41C2"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16998017"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19D3AD54"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2693C6FE" w14:textId="77777777" w:rsidTr="00361AA9">
        <w:trPr>
          <w:trHeight w:val="605"/>
        </w:trPr>
        <w:tc>
          <w:tcPr>
            <w:tcW w:w="228" w:type="pct"/>
            <w:shd w:val="clear" w:color="auto" w:fill="auto"/>
            <w:vAlign w:val="center"/>
          </w:tcPr>
          <w:p w14:paraId="7250A3B7" w14:textId="0845A6A4"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1AA59EBD" w14:textId="1C6A9721"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92" w:type="pct"/>
            <w:shd w:val="clear" w:color="auto" w:fill="auto"/>
            <w:vAlign w:val="center"/>
          </w:tcPr>
          <w:p w14:paraId="5EC78ADB"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826D75D"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520E286"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99F236C" w14:textId="0B8A9263"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391E999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5F5ED0C" w14:textId="77777777" w:rsidR="00361AA9" w:rsidRPr="003D5E50" w:rsidRDefault="00361AA9" w:rsidP="00361AA9">
            <w:pPr>
              <w:spacing w:after="0" w:line="240" w:lineRule="auto"/>
              <w:rPr>
                <w:rFonts w:ascii="Garamond" w:eastAsia="Times New Roman" w:hAnsi="Garamond" w:cs="Times New Roman"/>
                <w:color w:val="000000"/>
                <w:lang w:eastAsia="it-IT"/>
              </w:rPr>
            </w:pPr>
          </w:p>
        </w:tc>
      </w:tr>
      <w:tr w:rsidR="00361AA9" w:rsidRPr="003D5E50" w14:paraId="59C4E305" w14:textId="77777777" w:rsidTr="00361AA9">
        <w:trPr>
          <w:trHeight w:val="680"/>
        </w:trPr>
        <w:tc>
          <w:tcPr>
            <w:tcW w:w="228" w:type="pct"/>
            <w:shd w:val="clear" w:color="auto" w:fill="B8CCE4"/>
            <w:vAlign w:val="center"/>
          </w:tcPr>
          <w:p w14:paraId="2114E3AB" w14:textId="369614C7" w:rsidR="00361AA9" w:rsidRPr="003D5E50" w:rsidRDefault="00361AA9" w:rsidP="00361AA9">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26" w:type="pct"/>
            <w:gridSpan w:val="7"/>
            <w:shd w:val="clear" w:color="auto" w:fill="B8CCE4"/>
            <w:vAlign w:val="center"/>
          </w:tcPr>
          <w:p w14:paraId="396EEC2A" w14:textId="39359EFC" w:rsidR="00361AA9" w:rsidRPr="003D5E50" w:rsidRDefault="00361AA9" w:rsidP="00361AA9">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6" w:type="pct"/>
            <w:shd w:val="clear" w:color="auto" w:fill="B8CCE4"/>
            <w:vAlign w:val="center"/>
          </w:tcPr>
          <w:p w14:paraId="6F66E750" w14:textId="77777777" w:rsidR="00361AA9" w:rsidRPr="003D5E50" w:rsidRDefault="00361AA9" w:rsidP="00361AA9">
            <w:pPr>
              <w:spacing w:after="0" w:line="240" w:lineRule="auto"/>
              <w:rPr>
                <w:rFonts w:ascii="Garamond" w:eastAsia="Times New Roman" w:hAnsi="Garamond" w:cs="Times New Roman"/>
                <w:b/>
                <w:bCs/>
                <w:lang w:eastAsia="it-IT"/>
              </w:rPr>
            </w:pPr>
          </w:p>
        </w:tc>
      </w:tr>
      <w:tr w:rsidR="00361AA9" w:rsidRPr="003D5E50" w14:paraId="776C6C11" w14:textId="77777777" w:rsidTr="00361AA9">
        <w:trPr>
          <w:trHeight w:val="605"/>
        </w:trPr>
        <w:tc>
          <w:tcPr>
            <w:tcW w:w="228" w:type="pct"/>
            <w:shd w:val="clear" w:color="auto" w:fill="auto"/>
            <w:vAlign w:val="center"/>
          </w:tcPr>
          <w:p w14:paraId="193EEA92" w14:textId="2463B430" w:rsidR="00361AA9" w:rsidRPr="003D5E50" w:rsidRDefault="00361AA9" w:rsidP="00361AA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1DB9A1C2" w14:textId="3BCB595D" w:rsidR="00361AA9" w:rsidRPr="003D5E50" w:rsidRDefault="00361AA9" w:rsidP="00361AA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92" w:type="pct"/>
            <w:shd w:val="clear" w:color="auto" w:fill="auto"/>
            <w:vAlign w:val="center"/>
          </w:tcPr>
          <w:p w14:paraId="757F4439"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E693A1E"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5E74AAC"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5285DAE" w14:textId="5E1E8A73" w:rsidR="00361AA9" w:rsidRPr="003D5E50" w:rsidRDefault="007F71C5" w:rsidP="00361AA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Fase successiva</w:t>
            </w:r>
          </w:p>
        </w:tc>
        <w:tc>
          <w:tcPr>
            <w:tcW w:w="392" w:type="pct"/>
            <w:shd w:val="clear" w:color="auto" w:fill="auto"/>
            <w:vAlign w:val="center"/>
          </w:tcPr>
          <w:p w14:paraId="589EDB10" w14:textId="77777777" w:rsidR="00361AA9" w:rsidRPr="003D5E50" w:rsidRDefault="00361AA9" w:rsidP="00361AA9">
            <w:pPr>
              <w:spacing w:after="0" w:line="240" w:lineRule="auto"/>
              <w:rPr>
                <w:rFonts w:ascii="Garamond" w:eastAsia="Times New Roman" w:hAnsi="Garamond" w:cs="Times New Roman"/>
                <w:b/>
                <w:bCs/>
                <w:color w:val="000000"/>
                <w:lang w:eastAsia="it-IT"/>
              </w:rPr>
            </w:pPr>
          </w:p>
        </w:tc>
        <w:tc>
          <w:tcPr>
            <w:tcW w:w="1346" w:type="pct"/>
            <w:vAlign w:val="center"/>
          </w:tcPr>
          <w:p w14:paraId="6146E281" w14:textId="467A5AB8" w:rsidR="00361AA9" w:rsidRPr="003D5E50" w:rsidRDefault="00361AA9" w:rsidP="00361AA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53FE1AB7" w:rsidR="00457E72" w:rsidRPr="003D5E50" w:rsidRDefault="007F71C5" w:rsidP="006B7FF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X</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7F71C5"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7F71C5" w:rsidRDefault="009608D8" w:rsidP="00E404A3">
            <w:pPr>
              <w:spacing w:after="0" w:line="240" w:lineRule="auto"/>
              <w:rPr>
                <w:rFonts w:ascii="Garamond" w:eastAsia="Times New Roman" w:hAnsi="Garamond" w:cs="Times New Roman"/>
                <w:b/>
                <w:bCs/>
                <w:highlight w:val="yellow"/>
                <w:lang w:eastAsia="it-IT"/>
              </w:rPr>
            </w:pPr>
            <w:r w:rsidRPr="007F71C5">
              <w:rPr>
                <w:rFonts w:ascii="Garamond" w:eastAsia="Times New Roman" w:hAnsi="Garamond" w:cs="Times New Roman"/>
                <w:b/>
                <w:bCs/>
                <w:highlight w:val="yellow"/>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7E6ABB0" w:rsidR="009608D8" w:rsidRPr="007F71C5" w:rsidRDefault="0051252B" w:rsidP="0051252B">
            <w:pPr>
              <w:spacing w:after="0" w:line="240" w:lineRule="auto"/>
              <w:jc w:val="center"/>
              <w:rPr>
                <w:rFonts w:ascii="Garamond" w:eastAsia="Times New Roman" w:hAnsi="Garamond" w:cs="Times New Roman"/>
                <w:b/>
                <w:bCs/>
                <w:highlight w:val="yellow"/>
                <w:lang w:eastAsia="it-IT"/>
              </w:rPr>
            </w:pPr>
            <w:r w:rsidRPr="007F71C5">
              <w:rPr>
                <w:rFonts w:ascii="Garamond" w:eastAsia="Times New Roman" w:hAnsi="Garamond" w:cs="Times New Roman"/>
                <w:b/>
                <w:bCs/>
                <w:highlight w:val="yellow"/>
                <w:lang w:eastAsia="it-IT"/>
              </w:rPr>
              <w:t>€_____</w:t>
            </w:r>
          </w:p>
        </w:tc>
      </w:tr>
      <w:tr w:rsidR="009608D8" w:rsidRPr="007F71C5"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7F71C5" w:rsidRDefault="009608D8" w:rsidP="00E404A3">
            <w:pPr>
              <w:spacing w:after="0" w:line="240" w:lineRule="auto"/>
              <w:rPr>
                <w:rFonts w:ascii="Garamond" w:eastAsia="Times New Roman" w:hAnsi="Garamond" w:cs="Times New Roman"/>
                <w:color w:val="000000"/>
                <w:highlight w:val="yellow"/>
                <w:lang w:eastAsia="it-IT"/>
              </w:rPr>
            </w:pPr>
            <w:r w:rsidRPr="007F71C5">
              <w:rPr>
                <w:rFonts w:ascii="Garamond" w:eastAsia="Times New Roman" w:hAnsi="Garamond" w:cs="Times New Roman"/>
                <w:color w:val="000000"/>
                <w:highlight w:val="yellow"/>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48F4CAF" w:rsidR="009608D8" w:rsidRPr="007F71C5" w:rsidRDefault="0051252B" w:rsidP="00560797">
            <w:pPr>
              <w:spacing w:after="0" w:line="240" w:lineRule="auto"/>
              <w:jc w:val="center"/>
              <w:rPr>
                <w:rFonts w:ascii="Garamond" w:eastAsia="Times New Roman" w:hAnsi="Garamond" w:cs="Times New Roman"/>
                <w:color w:val="000000"/>
                <w:highlight w:val="yellow"/>
                <w:lang w:eastAsia="it-IT"/>
              </w:rPr>
            </w:pPr>
            <w:r w:rsidRPr="007F71C5">
              <w:rPr>
                <w:rFonts w:ascii="Garamond" w:eastAsia="Times New Roman" w:hAnsi="Garamond" w:cs="Times New Roman"/>
                <w:bCs/>
                <w:highlight w:val="yellow"/>
                <w:lang w:eastAsia="it-IT"/>
              </w:rPr>
              <w:t>€_____</w:t>
            </w:r>
          </w:p>
        </w:tc>
      </w:tr>
      <w:tr w:rsidR="009608D8" w:rsidRPr="007F71C5"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7F71C5" w:rsidRDefault="009608D8" w:rsidP="00E404A3">
            <w:pPr>
              <w:spacing w:after="0" w:line="240" w:lineRule="auto"/>
              <w:rPr>
                <w:rFonts w:ascii="Garamond" w:eastAsia="Times New Roman" w:hAnsi="Garamond" w:cs="Times New Roman"/>
                <w:color w:val="000000"/>
                <w:highlight w:val="yellow"/>
                <w:lang w:eastAsia="it-IT"/>
              </w:rPr>
            </w:pPr>
            <w:r w:rsidRPr="007F71C5">
              <w:rPr>
                <w:rFonts w:ascii="Garamond" w:eastAsia="Times New Roman" w:hAnsi="Garamond" w:cs="Times New Roman"/>
                <w:color w:val="000000"/>
                <w:highlight w:val="yellow"/>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DFD0EE0" w:rsidR="009608D8" w:rsidRPr="007F71C5" w:rsidRDefault="0051252B" w:rsidP="00560797">
            <w:pPr>
              <w:spacing w:after="0" w:line="240" w:lineRule="auto"/>
              <w:jc w:val="center"/>
              <w:rPr>
                <w:rFonts w:ascii="Garamond" w:eastAsia="Times New Roman" w:hAnsi="Garamond" w:cs="Times New Roman"/>
                <w:color w:val="000000"/>
                <w:highlight w:val="yellow"/>
                <w:lang w:eastAsia="it-IT"/>
              </w:rPr>
            </w:pPr>
            <w:r w:rsidRPr="007F71C5">
              <w:rPr>
                <w:rFonts w:ascii="Garamond" w:eastAsia="Times New Roman" w:hAnsi="Garamond" w:cs="Times New Roman"/>
                <w:bCs/>
                <w:highlight w:val="yellow"/>
                <w:lang w:eastAsia="it-IT"/>
              </w:rPr>
              <w:t>€_____</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7F71C5" w:rsidRDefault="009608D8" w:rsidP="00E404A3">
            <w:pPr>
              <w:spacing w:after="0" w:line="240" w:lineRule="auto"/>
              <w:rPr>
                <w:rFonts w:ascii="Garamond" w:eastAsia="Times New Roman" w:hAnsi="Garamond" w:cs="Times New Roman"/>
                <w:color w:val="000000"/>
                <w:highlight w:val="yellow"/>
                <w:lang w:eastAsia="it-IT"/>
              </w:rPr>
            </w:pPr>
            <w:r w:rsidRPr="007F71C5">
              <w:rPr>
                <w:rFonts w:ascii="Garamond" w:eastAsia="Times New Roman" w:hAnsi="Garamond" w:cs="Times New Roman"/>
                <w:color w:val="000000"/>
                <w:highlight w:val="yellow"/>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0306E2F" w:rsidR="009608D8" w:rsidRPr="003D5E50" w:rsidRDefault="0051252B" w:rsidP="00560797">
            <w:pPr>
              <w:spacing w:after="0" w:line="240" w:lineRule="auto"/>
              <w:jc w:val="center"/>
              <w:rPr>
                <w:rFonts w:ascii="Garamond" w:eastAsia="Times New Roman" w:hAnsi="Garamond" w:cs="Times New Roman"/>
                <w:color w:val="000000"/>
                <w:lang w:eastAsia="it-IT"/>
              </w:rPr>
            </w:pPr>
            <w:r w:rsidRPr="007F71C5">
              <w:rPr>
                <w:rFonts w:ascii="Garamond" w:eastAsia="Times New Roman" w:hAnsi="Garamond" w:cs="Times New Roman"/>
                <w:bCs/>
                <w:highlight w:val="yellow"/>
                <w:lang w:eastAsia="it-IT"/>
              </w:rPr>
              <w:t>€_____</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77777777" w:rsidR="00457E72" w:rsidRPr="00EC3B0D" w:rsidRDefault="00457E72" w:rsidP="006B7FF4">
            <w:pPr>
              <w:jc w:val="center"/>
              <w:rPr>
                <w:rFonts w:ascii="Garamond" w:hAnsi="Garamond" w:cs="Calibri"/>
              </w:rPr>
            </w:pPr>
            <w:r w:rsidRPr="00EC3B0D">
              <w:rPr>
                <w:rFonts w:ascii="Garamond" w:hAnsi="Garamond" w:cs="Calibri"/>
              </w:rPr>
              <w:t>___/___/_____</w:t>
            </w:r>
          </w:p>
        </w:tc>
      </w:tr>
      <w:tr w:rsidR="00457E72" w:rsidRPr="00EC3B0D" w14:paraId="0F7232B3" w14:textId="77777777" w:rsidTr="00FD4945">
        <w:trPr>
          <w:trHeight w:val="620"/>
        </w:trPr>
        <w:tc>
          <w:tcPr>
            <w:tcW w:w="5000" w:type="pct"/>
            <w:gridSpan w:val="2"/>
            <w:vAlign w:val="center"/>
          </w:tcPr>
          <w:p w14:paraId="70C9F969" w14:textId="77777777"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77777777"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2F99" w14:textId="77777777" w:rsidR="00BD354A" w:rsidRDefault="00BD354A" w:rsidP="00BB082A">
      <w:pPr>
        <w:spacing w:after="0" w:line="240" w:lineRule="auto"/>
      </w:pPr>
      <w:r>
        <w:separator/>
      </w:r>
    </w:p>
  </w:endnote>
  <w:endnote w:type="continuationSeparator" w:id="0">
    <w:p w14:paraId="5D7582AF" w14:textId="77777777" w:rsidR="00BD354A" w:rsidRDefault="00BD354A"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791F4B70" w:rsidR="00E755D9" w:rsidRPr="00B50AD7" w:rsidRDefault="00E755D9">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737B70">
      <w:rPr>
        <w:rFonts w:ascii="Garamond" w:hAnsi="Garamond"/>
        <w:noProof/>
        <w:sz w:val="20"/>
        <w:szCs w:val="20"/>
      </w:rPr>
      <w:t>22</w:t>
    </w:r>
    <w:r w:rsidRPr="00B50AD7">
      <w:rPr>
        <w:rFonts w:ascii="Garamond" w:hAnsi="Garamond"/>
        <w:sz w:val="20"/>
        <w:szCs w:val="20"/>
      </w:rPr>
      <w:fldChar w:fldCharType="end"/>
    </w:r>
  </w:p>
  <w:p w14:paraId="67EEF7FF" w14:textId="77777777" w:rsidR="00E755D9" w:rsidRDefault="00E755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6BA84" w14:textId="77777777" w:rsidR="00BD354A" w:rsidRDefault="00BD354A" w:rsidP="00BB082A">
      <w:pPr>
        <w:spacing w:after="0" w:line="240" w:lineRule="auto"/>
      </w:pPr>
      <w:r>
        <w:separator/>
      </w:r>
    </w:p>
  </w:footnote>
  <w:footnote w:type="continuationSeparator" w:id="0">
    <w:p w14:paraId="0DB7B1AF" w14:textId="77777777" w:rsidR="00BD354A" w:rsidRDefault="00BD354A"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E755D9" w:rsidRDefault="00E755D9"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E755D9" w:rsidRDefault="00E755D9"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1F551E"/>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960CA"/>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1AA9"/>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37B70"/>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1C"/>
    <w:rsid w:val="007D03C0"/>
    <w:rsid w:val="007D5459"/>
    <w:rsid w:val="007D5917"/>
    <w:rsid w:val="007E02B7"/>
    <w:rsid w:val="007E3A2F"/>
    <w:rsid w:val="007E407A"/>
    <w:rsid w:val="007E4420"/>
    <w:rsid w:val="007E4471"/>
    <w:rsid w:val="007F1A5F"/>
    <w:rsid w:val="007F71C5"/>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B6522"/>
    <w:rsid w:val="008C01F8"/>
    <w:rsid w:val="008C4DB0"/>
    <w:rsid w:val="008C6548"/>
    <w:rsid w:val="008D160F"/>
    <w:rsid w:val="008D39EF"/>
    <w:rsid w:val="008E64EF"/>
    <w:rsid w:val="008E76B0"/>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354A"/>
    <w:rsid w:val="00BD74D7"/>
    <w:rsid w:val="00BD75E3"/>
    <w:rsid w:val="00BE00E0"/>
    <w:rsid w:val="00BE056D"/>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895"/>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55D9"/>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A1A"/>
    <w:rsid w:val="00F95BCC"/>
    <w:rsid w:val="00FA1831"/>
    <w:rsid w:val="00FA4C41"/>
    <w:rsid w:val="00FA656A"/>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ECA726DA-82ED-4350-852D-86AA02FD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4144</Words>
  <Characters>23622</Characters>
  <Application>Microsoft Office Word</Application>
  <DocSecurity>0</DocSecurity>
  <Lines>196</Lines>
  <Paragraphs>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2023-05-27T08:15:00Z</dcterms:created>
  <dcterms:modified xsi:type="dcterms:W3CDTF">2023-05-27T08:15:00Z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