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264"/>
        <w:gridCol w:w="3256"/>
        <w:gridCol w:w="824"/>
        <w:gridCol w:w="2433"/>
        <w:gridCol w:w="3595"/>
        <w:gridCol w:w="423"/>
        <w:gridCol w:w="2751"/>
        <w:gridCol w:w="145"/>
        <w:gridCol w:w="75"/>
        <w:gridCol w:w="23"/>
        <w:gridCol w:w="169"/>
        <w:gridCol w:w="74"/>
        <w:gridCol w:w="194"/>
        <w:gridCol w:w="59"/>
      </w:tblGrid>
      <w:tr>
        <w:trPr>
          <w:trHeight w:val="31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27" w:type="dxa"/>
            <w:gridSpan w:val="7"/>
            <w:vMerge w:val="restart"/>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CHECKLIST PER LA</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 </w:t>
            </w:r>
            <w:r>
              <w:rPr>
                <w:rFonts w:eastAsia="Times New Roman" w:cs="Calibri" w:ascii="Garamond" w:hAnsi="Garamond" w:cstheme="minorHAnsi"/>
                <w:b/>
                <w:bCs/>
                <w:color w:val="FFFFFF"/>
                <w:lang w:eastAsia="it-IT"/>
              </w:rPr>
              <w:t xml:space="preserve">VERIFICA DELLE REGOLARITÀ AMMINISTRATIVO-CONTABILE DELLE </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PROCEDURE DI APPALTO AI SENSI DEL D. lgs. n. 50/2016 e ss.mm.ii.</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284"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27"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256" w:hRule="atLeast"/>
        </w:trPr>
        <w:tc>
          <w:tcPr>
            <w:tcW w:w="264" w:type="dxa"/>
            <w:tcBorders/>
            <w:shd w:color="000000" w:fill="FFFFFF" w:val="clear"/>
            <w:vAlign w:val="center"/>
          </w:tcPr>
          <w:p>
            <w:pPr>
              <w:pStyle w:val="Normal"/>
              <w:spacing w:lineRule="auto" w:line="240" w:before="0" w:after="0"/>
              <w:rPr>
                <w:rFonts w:ascii="Garamond" w:hAnsi="Garamond" w:eastAsia="Times New Roman" w:cs="Calibri" w:cstheme="minorHAnsi"/>
                <w:b/>
                <w:b/>
                <w:bCs/>
                <w:color w:val="000000"/>
                <w:lang w:eastAsia="it-IT"/>
              </w:rPr>
            </w:pPr>
            <w:r>
              <w:rPr>
                <w:rFonts w:eastAsia="Times New Roman" w:cs="Calibri" w:ascii="Garamond" w:hAnsi="Garamond" w:cstheme="minorHAnsi"/>
                <w:b/>
                <w:bCs/>
                <w:color w:val="000000"/>
                <w:lang w:eastAsia="it-IT"/>
              </w:rPr>
              <w:t> </w:t>
            </w:r>
          </w:p>
        </w:tc>
        <w:tc>
          <w:tcPr>
            <w:tcW w:w="13427"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27"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27"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08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3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595"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2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751"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2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6"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3"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4080" w:type="dxa"/>
            <w:gridSpan w:val="2"/>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433" w:type="dxa"/>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3595"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423"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751"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20" w:type="dxa"/>
            <w:gridSpan w:val="2"/>
            <w:tcBorders>
              <w:bottom w:val="single" w:sz="2"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66"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3"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525" w:type="dxa"/>
            <w:gridSpan w:val="9"/>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Anagrafica Intervento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Missione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4: Istruzione e ricerca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Componente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1 – Potenziamento dell’offerta dei servizi di istruzione: dagli asili nido alle Università</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Misura/sub-misura</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M4C1I3.3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Riforma o investimento/ sub-investimento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w:t>
            </w:r>
            <w:r>
              <w:rPr>
                <w:rFonts w:eastAsia="Times New Roman" w:cs="Calibri" w:ascii="Garamond" w:hAnsi="Garamond" w:cstheme="minorHAnsi"/>
                <w:lang w:eastAsia="it-IT"/>
              </w:rPr>
              <w:t>3.3: Piano di messa in sicurezza e riqualificazione dell’edilizia scolastica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CUP</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D56F23000000006</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intervento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adeguamento sismico istituto Paciolo di Fidenza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Attuatore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Realizzatore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b/>
                <w:bCs/>
                <w:color w:val="3465A4"/>
                <w:lang w:eastAsia="it-IT"/>
              </w:rPr>
              <w:t>Non individuato alla data del presente controllo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Costo totale intervento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di cui costo ammesso PNRR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Tipologia affidamento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Lavori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Acquisto fornitura o servizi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Misti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Affidamento diretto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negoziata senza previa pubblicazione di bando ex art. 63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aperta ex art. 60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ristretta ex art. 61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competitiva con negoziazione ex art. 62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Dialogo competitivo ex art. 64 d.lgs. n. 50/2016 (Procedura aperta, ristretta, etc.)</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PFTE ex art. 48 D.L. n. 77/2021</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progetto definitivo ex art. 1, comma 1, D.L. 32/2019 così come prorogato dall’art. 52 D.L. 77/2021 e ss.mm.ii.</w:t>
            </w:r>
          </w:p>
          <w:p>
            <w:pPr>
              <w:pStyle w:val="Normal"/>
              <w:spacing w:lineRule="auto" w:line="240" w:before="0" w:after="0"/>
              <w:rPr/>
            </w:pPr>
            <w:r>
              <w:rPr>
                <w:rFonts w:eastAsia="Symbol" w:cs="Symbol" w:ascii="Symbol" w:hAnsi="Symbol"/>
                <w:lang w:eastAsia="it-IT"/>
              </w:rPr>
              <w:t></w:t>
            </w:r>
            <w:r>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CIG</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9855240154</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bando di gara</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PROGETTO DI “ADEGUAMENTO SISMICO ISTITUTO PACIOLO DI FIDENZA” CUP D56F23000000006 (FIN. UE - NEXT GENERATION EU (M4-C1-I.3.3) - Verifica preventiva strutturale a supporto della validazione della progettazione esecutiva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Atto di riferimento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 xml:space="preserve">(Determina a contrarre, riferimento del contratto stipulato, data, RDO/ODA) - </w:t>
            </w:r>
            <w:r>
              <w:rPr>
                <w:rFonts w:eastAsia="Times New Roman" w:cs="Calibri" w:ascii="Garamond" w:hAnsi="Garamond" w:cstheme="minorHAnsi"/>
                <w:b/>
                <w:bCs/>
                <w:color w:val="3465A4"/>
                <w:lang w:eastAsia="it-IT"/>
              </w:rPr>
              <w:t>Atto di affidamento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431"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Localizzazione intervento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ISTITUTO PACIOLO DI FIDENZA</w:t>
            </w:r>
          </w:p>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Via Manzoni 6, 43036 Fidenza (PR)</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8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Data di avvio e conclusione affidamento </w:t>
            </w:r>
          </w:p>
        </w:tc>
        <w:tc>
          <w:tcPr>
            <w:tcW w:w="10269" w:type="dxa"/>
            <w:gridSpan w:val="8"/>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 xml:space="preserve">Avvio: [30/05/2023 (avvio Trattativa diretta su </w:t>
            </w:r>
            <w:r>
              <w:rPr>
                <w:rFonts w:eastAsia="Times New Roman" w:cs="Calibri" w:ascii="Garamond" w:hAnsi="Garamond" w:cstheme="minorHAnsi"/>
                <w:color w:val="auto"/>
                <w:kern w:val="0"/>
                <w:sz w:val="22"/>
                <w:szCs w:val="22"/>
                <w:lang w:val="it-IT" w:eastAsia="it-IT" w:bidi="ar-SA"/>
              </w:rPr>
              <w:t>MEPA</w:t>
            </w:r>
            <w:r>
              <w:rPr>
                <w:rFonts w:eastAsia="Times New Roman" w:cs="Calibri" w:ascii="Garamond" w:hAnsi="Garamond" w:cstheme="minorHAnsi"/>
                <w:lang w:eastAsia="it-IT"/>
              </w:rPr>
              <w:t>)]</w:t>
            </w:r>
          </w:p>
          <w:p>
            <w:pPr>
              <w:pStyle w:val="Normal"/>
              <w:spacing w:lineRule="auto" w:line="240" w:before="0" w:after="0"/>
              <w:rPr>
                <w:rFonts w:cs="Calibri" w:cstheme="minorHAnsi"/>
              </w:rPr>
            </w:pPr>
            <w:r>
              <w:rPr>
                <w:rFonts w:eastAsia="Times New Roman" w:cs="Calibri" w:ascii="Garamond" w:hAnsi="Garamond" w:cstheme="minorHAnsi"/>
                <w:lang w:eastAsia="it-IT"/>
              </w:rPr>
              <w:t>Conclusione: [</w:t>
            </w:r>
            <w:r>
              <w:rPr>
                <w:rFonts w:eastAsia="Times New Roman" w:cs="Calibri" w:ascii="Garamond" w:hAnsi="Garamond" w:cstheme="minorHAnsi"/>
                <w:b/>
                <w:bCs/>
                <w:color w:val="3465A4"/>
                <w:lang w:eastAsia="it-IT"/>
              </w:rPr>
              <w:t>data atto di affidamento adottando</w:t>
            </w:r>
            <w:r>
              <w:rPr>
                <w:rFonts w:eastAsia="Times New Roman" w:cs="Calibri" w:ascii="Garamond" w:hAnsi="Garamond" w:cstheme="minorHAnsi"/>
                <w:lang w:eastAsia="it-IT"/>
              </w:rPr>
              <w:t>]</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della procedura </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a base di gara)</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t xml:space="preserve">€ </w:t>
            </w:r>
            <w:r>
              <w:rPr/>
              <w:t>6.108,95</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Rilevanza comunitaria</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 xml:space="preserve">Sopra soglia comunitaria                              </w:t>
            </w:r>
            <w:r>
              <w:rPr>
                <w:rFonts w:eastAsia="Wingdings" w:cs="Wingdings" w:ascii="Wingdings" w:hAnsi="Wingdings"/>
                <w:lang w:eastAsia="it-IT"/>
              </w:rPr>
              <w:t></w:t>
            </w:r>
            <w:r>
              <w:rPr>
                <w:rFonts w:eastAsia="Times New Roman" w:cs="Calibri" w:ascii="Garamond" w:hAnsi="Garamond" w:cstheme="minorHAnsi"/>
                <w:lang w:eastAsia="it-IT"/>
              </w:rPr>
              <w:t xml:space="preserve"> Sotto soglia comunitaria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Criterio di aggiudicazione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dell’elemento prezzo o del costo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miglior rapporto qualità/prezzo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prezzo o costo fisso in base a criteri qualitativi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Titolare del contratto/convenzione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Ing. Silvia Zerbini - Via Verdi, 6 - 43121 Parma (PR) - C.F. ZRBSLV81L70B042W - Partita I.V.A. 02502540343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Estremi contratto/convenzione</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b/>
                <w:b/>
                <w:bCs/>
              </w:rPr>
            </w:pPr>
            <w:r>
              <w:rPr>
                <w:rFonts w:eastAsia="Times New Roman" w:cs="Calibri" w:ascii="Garamond" w:hAnsi="Garamond" w:cstheme="minorHAnsi"/>
                <w:b/>
                <w:bCs/>
                <w:color w:val="3465A4"/>
                <w:lang w:eastAsia="it-IT"/>
              </w:rPr>
              <w:t>Stipulato a seguito di avvenuta esecutività dell’atto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netto contratto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6.000,00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IVA e altri oneri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1.612,80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totale del contratto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7.612,80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Ribasso offerto (%)</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1,78%</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Luogo di conservazione della documentazione</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color w:val="FFFFFF"/>
                <w:sz w:val="18"/>
                <w:szCs w:val="18"/>
                <w:lang w:eastAsia="it-IT"/>
              </w:rPr>
              <w:t>(</w:t>
            </w:r>
            <w:r>
              <w:rPr>
                <w:rFonts w:eastAsia="Times New Roman" w:cs="Calibri" w:ascii="Garamond" w:hAnsi="Garamond" w:cstheme="minorHAnsi"/>
                <w:color w:val="FFFFFF" w:themeColor="background1"/>
                <w:sz w:val="18"/>
                <w:szCs w:val="18"/>
                <w:lang w:eastAsia="it-IT"/>
              </w:rPr>
              <w:t>Ente/Ufficio/Stanza o Server/archivio informatico</w:t>
            </w:r>
          </w:p>
        </w:tc>
        <w:tc>
          <w:tcPr>
            <w:tcW w:w="10269"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Parma/U.O. Edilizia Scolastica + Server/archivio informatico 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9" w:type="dxa"/>
            <w:tcBorders/>
          </w:tcPr>
          <w:p>
            <w:pPr>
              <w:pStyle w:val="Normal"/>
              <w:widowControl/>
              <w:bidi w:val="0"/>
              <w:spacing w:lineRule="auto" w:line="259" w:before="0" w:after="160"/>
              <w:jc w:val="left"/>
              <w:rPr/>
            </w:pPr>
            <w:r>
              <w:rPr/>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674"/>
        <w:gridCol w:w="4546"/>
        <w:gridCol w:w="568"/>
        <w:gridCol w:w="682"/>
        <w:gridCol w:w="797"/>
        <w:gridCol w:w="2203"/>
        <w:gridCol w:w="2036"/>
        <w:gridCol w:w="2779"/>
      </w:tblGrid>
      <w:tr>
        <w:trPr>
          <w:tblHeader w:val="true"/>
          <w:trHeight w:val="1500" w:hRule="atLeast"/>
        </w:trPr>
        <w:tc>
          <w:tcPr>
            <w:tcW w:w="5220" w:type="dxa"/>
            <w:gridSpan w:val="2"/>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Elenco dei documenti verificati</w:t>
            </w:r>
          </w:p>
        </w:tc>
        <w:tc>
          <w:tcPr>
            <w:tcW w:w="2036"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Note</w:t>
            </w:r>
          </w:p>
        </w:tc>
        <w:tc>
          <w:tcPr>
            <w:tcW w:w="2779"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center"/>
              <w:rPr>
                <w:rFonts w:ascii="Garamond" w:hAnsi="Garamond" w:eastAsia="Times New Roman" w:cs="Calibri" w:cstheme="minorHAnsi"/>
                <w:b/>
                <w:b/>
                <w:bCs/>
                <w:lang w:eastAsia="it-IT"/>
              </w:rPr>
            </w:pPr>
            <w:r>
              <w:rPr>
                <w:rFonts w:eastAsia="Times New Roman" w:cs="Calibri" w:ascii="Garamond" w:hAnsi="Garamond" w:cstheme="minorHAnsi"/>
                <w:b/>
                <w:bCs/>
                <w:lang w:eastAsia="it-IT"/>
              </w:rPr>
              <w:t>Oggetto del controllo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lang w:eastAsia="it-IT"/>
              </w:rPr>
              <w:t xml:space="preserve">Parte generale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gara (Bando, avviso, capitolato, altro);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DSAN </w:t>
            </w:r>
          </w:p>
        </w:tc>
      </w:tr>
      <w:tr>
        <w:trPr>
          <w:trHeight w:val="135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DSAN </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Visura camerale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Format per la comunicazione dei dati necessari per l’identificazione del titolare effettivo </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Elaborati analitici e grafici relativi alle fasi progettuali già approvate;</w:t>
            </w:r>
          </w:p>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Atto di riconducibilità per i progetti in essere </w:t>
            </w:r>
          </w:p>
          <w:p>
            <w:pPr>
              <w:pStyle w:val="Normal"/>
              <w:spacing w:lineRule="auto" w:line="240" w:before="0" w:after="0"/>
              <w:rPr>
                <w:rFonts w:ascii="Garamond" w:hAnsi="Garamond" w:eastAsia="Times New Roman" w:cs="Times New Roman"/>
                <w:color w:val="000000"/>
                <w:sz w:val="20"/>
                <w:szCs w:val="20"/>
                <w:highlight w:val="yellow"/>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L’oggetto della procedura di affidamento rispetta, ove applicabili, i seguenti principi trasversali previsti dal Regolamento (UE) 241/2021:</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della parità di genere (Gender Equality);</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protezione e valorizzazione dei giovani;</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tc>
      </w:tr>
      <w:tr>
        <w:trPr>
          <w:trHeight w:val="186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capitolato/avviso/ecc.) riporta il riferimento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 principio di non arrecare danno significativo all’ambiente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 </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Progetto/Scheda progettuale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Allineamento della prestazione agli obiettivi del progetto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 </w:t>
            </w: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Contratto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Dichiarazione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b/>
                <w:bCs/>
                <w:lang w:eastAsia="it-IT"/>
              </w:rPr>
              <w:t xml:space="preserve">Determina a contrarre e documenti di gara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stati rispettati </w:t>
            </w:r>
            <w:r>
              <w:rPr>
                <w:rFonts w:eastAsia="Times New Roman" w:cs="Times New Roman" w:ascii="Garamond" w:hAnsi="Garamond"/>
                <w:bCs/>
                <w:color w:val="000000"/>
                <w:lang w:eastAsia="it-IT"/>
              </w:rPr>
              <w:t>gli</w:t>
            </w:r>
            <w:r>
              <w:rPr>
                <w:rFonts w:eastAsia="Times New Roman" w:cs="Times New Roman" w:ascii="Garamond" w:hAnsi="Garamond"/>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Strumenti di programmazione dell’Ente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Per l’effettuazione della specifica verifica si rimanda agli artt. 21 e 29 d.lgs.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Programma biennale delle forniture e servizi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Programma triennale lavori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approvazione del Programma biennale/triennale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Link profilo committente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sito informatico del Ministero delle infrastrutture e dei trasporti e dell’Osservatorio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Laddove la stazione appaltante sia un Comune non capoluogo di Provincia ha proceduto secondo le modalità previste dall'art. 37 co. 4 del d. lgs. 50/2016, in particolare:</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ad una Centrale di committenza o a soggetti aggregatori qualificati?</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mediante unioni di Comuni costituite o qualificate come Centrali di committenza, o associandosi o consorziandosi in Centrali di committenza?</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alla Stazione unica appaltante ai sensi dell’art.37 co. 4 d.lgs.50/2016?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N.B.: comma in deroga fino al 30 giugno 2023, ma non per i progetti cofinanziati con PNRR o PNC</w:t>
            </w:r>
          </w:p>
          <w:p>
            <w:pPr>
              <w:pStyle w:val="Normal"/>
              <w:spacing w:lineRule="auto" w:line="240" w:before="0" w:after="0"/>
              <w:jc w:val="both"/>
              <w:rPr>
                <w:rFonts w:ascii="Garamond" w:hAnsi="Garamond" w:eastAsia="Times New Roman" w:cs="Times New Roman"/>
                <w:i/>
                <w:i/>
                <w:iCs/>
                <w:color w:val="000000"/>
                <w:lang w:eastAsia="it-IT"/>
              </w:rPr>
            </w:pPr>
            <w:r>
              <w:rPr>
                <w:rFonts w:eastAsia="Times New Roman" w:cs="Times New Roman" w:ascii="Garamond" w:hAnsi="Garamond"/>
                <w:i/>
                <w:iCs/>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Stazione Appaltante è la Provincia di Parma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Determina a contrarre</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nomina del RUP</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Atto di nomina del RUP</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Per l’effettuazione della specifica verifica si rimanda agli Artt. 23,26, 27 D.lgs. 50/2016.</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 di fattibilità tecnica ed economica, progetto definitivo, progetto esecutivo;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approvazione dei progetti/Atti di validazione del RUP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di verifica svolti in contraddittorio con i progettisti</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b/>
                <w:b/>
                <w:bCs/>
                <w:color w:val="000000"/>
                <w:sz w:val="20"/>
                <w:lang w:eastAsia="it-IT"/>
              </w:rPr>
            </w:pPr>
            <w:r>
              <w:rPr>
                <w:rFonts w:eastAsia="Times New Roman" w:cs="Times New Roman" w:ascii="Garamond" w:hAnsi="Garamond"/>
                <w:color w:val="000000"/>
                <w:sz w:val="20"/>
                <w:lang w:eastAsia="it-IT"/>
              </w:rPr>
              <w:t xml:space="preserve">Per l’effettuazione della specifica verifica si rimanda all’art. 32 d. 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b/>
                <w:bCs/>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 (se approvata dalla determina)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Dimostrazione dell’avvenuta pubblicazione ai sensi dell'art. 29 d.lgs. n. 50/2016</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valore stimato dell'appalto (lavori/servizi/ forniture) ai fini della scelta della procedura di affidamento: </w:t>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basato sull'importo totale pagabile, al netto dell’I.V.A.?</w:t>
              <w:tab/>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affidamento diretto</w:t>
            </w:r>
            <w:r>
              <w:rPr>
                <w:rFonts w:eastAsia="Times New Roman" w:cs="Times New Roman" w:ascii="Garamond" w:hAnsi="Garamond"/>
                <w:color w:val="000000"/>
                <w:lang w:eastAsia="it-IT"/>
              </w:rPr>
              <w:t>, lo stesso risulta adeguatamente motivato?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rispettato le eventuali disposizioni contenute nei propri regolamenti interni relative all'affidamento diretto?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affidamenti diretti previa valutazione di preventivi</w:t>
            </w:r>
            <w:r>
              <w:rPr>
                <w:rFonts w:eastAsia="Times New Roman" w:cs="Times New Roman" w:ascii="Garamond" w:hAnsi="Garamond"/>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affidamenti mediante </w:t>
            </w:r>
            <w:r>
              <w:rPr>
                <w:rFonts w:eastAsia="Times New Roman" w:cs="Times New Roman" w:ascii="Garamond" w:hAnsi="Garamond"/>
                <w:b/>
                <w:color w:val="000000"/>
                <w:lang w:eastAsia="it-IT"/>
              </w:rPr>
              <w:t>procedura negoziata senza pubblicazione del bando (ex art. 63 del d.lgs. n. 50/2016)</w:t>
            </w:r>
            <w:r>
              <w:rPr>
                <w:rFonts w:eastAsia="Times New Roman" w:cs="Times New Roman" w:ascii="Garamond" w:hAnsi="Garamond"/>
                <w:color w:val="000000"/>
                <w:lang w:eastAsia="it-IT"/>
              </w:rPr>
              <w:t>, l’invito degli operatori è stato fatto nel rispetto delle norme vigenti e del principio di rotazione dei fornitori?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Determina a contrarre o atto analogo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Bando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Capitolato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riconducibilità nel caso di progetti in essere</w:t>
            </w:r>
          </w:p>
        </w:tc>
      </w:tr>
      <w:tr>
        <w:trPr>
          <w:trHeight w:val="131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CIG</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Scheda CUP</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CUP</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specificati:</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descrizione esaustiva dell’oggetto del contratto/appalto?</w:t>
            </w:r>
          </w:p>
          <w:p>
            <w:pPr>
              <w:pStyle w:val="ListParagraph"/>
              <w:numPr>
                <w:ilvl w:val="0"/>
                <w:numId w:val="7"/>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criteri di selezione degli operatori economici? </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aggiudicazione?</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 criteri di selezione riguardano esclusivamente: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i requisiti d’idoneità professionale?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capacità economica e finanziaria?</w:t>
            </w:r>
          </w:p>
          <w:p>
            <w:pPr>
              <w:pStyle w:val="ListParagraph"/>
              <w:numPr>
                <w:ilvl w:val="0"/>
                <w:numId w:val="8"/>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Se l’appalto è suddiviso in lotti funzionali o prestazionali, per la definizione delle soglie è stato computato il valore complessivo stimato della totalità di tali lotti ai sensi dell’art. 35, comma 9,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(bando/lettera d’invito/Capitolato speciale d’appalto) è prevista:</w:t>
            </w:r>
          </w:p>
          <w:p>
            <w:pPr>
              <w:pStyle w:val="ListParagraph"/>
              <w:numPr>
                <w:ilvl w:val="0"/>
                <w:numId w:val="5"/>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modifiche/varianti ai sensi dell’art. 106 del codice die contratti?</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subappalto?</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Invito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tc>
      </w:tr>
      <w:tr>
        <w:trPr>
          <w:trHeight w:val="182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Link al sito del committente nella Sezione Amministrazione Trasparente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del committente nella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Sezione Amministrazione Trasparente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ANAC</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GUUE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Estremi GURI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Copie delle pubblicazioni sui Quotidiani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di collegamento ai siti informatici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w:t>
            </w:r>
          </w:p>
        </w:tc>
        <w:tc>
          <w:tcPr>
            <w:tcW w:w="10832"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Affidamenti in house</w:t>
            </w:r>
          </w:p>
        </w:tc>
        <w:tc>
          <w:tcPr>
            <w:tcW w:w="2779"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Statuto ente in house; atto formale di riconoscimento della natura di </w:t>
            </w:r>
            <w:r>
              <w:rPr>
                <w:rFonts w:eastAsia="Times New Roman" w:cs="Times New Roman" w:ascii="Garamond" w:hAnsi="Garamond"/>
                <w:i/>
                <w:iCs/>
                <w:color w:val="000000"/>
                <w:sz w:val="20"/>
                <w:lang w:eastAsia="it-IT"/>
              </w:rPr>
              <w:t xml:space="preserve">in house providing </w:t>
            </w:r>
            <w:r>
              <w:rPr>
                <w:rFonts w:eastAsia="Times New Roman" w:cs="Times New Roman" w:ascii="Garamond" w:hAnsi="Garamond"/>
                <w:color w:val="000000"/>
                <w:sz w:val="20"/>
                <w:lang w:eastAsia="it-IT"/>
              </w:rPr>
              <w:t>dell’ente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Atto/rapporto recante la valutazione di congruità economica</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Provvedimento di affidamento e documentazione attestante la verifica di congruità tecnica ed economica dell'offerta presentata dall'ente in house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provvedimento di 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contiene le motivazioni del mancato ricorso al mercato?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adeguatamente motivate le ragioni dell’affidamento </w:t>
            </w:r>
            <w:r>
              <w:rPr>
                <w:rFonts w:eastAsia="Times New Roman" w:cs="Times New Roman" w:ascii="Garamond" w:hAnsi="Garamond"/>
                <w:i/>
                <w:iCs/>
                <w:color w:val="000000"/>
                <w:lang w:eastAsia="it-IT"/>
              </w:rPr>
              <w:t xml:space="preserve">in house </w:t>
            </w:r>
            <w:r>
              <w:rPr>
                <w:rFonts w:eastAsia="Times New Roman" w:cs="Times New Roman" w:ascii="Garamond" w:hAnsi="Garamond"/>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 di affidamento del servizio/contratto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w:t>
            </w:r>
          </w:p>
        </w:tc>
        <w:tc>
          <w:tcPr>
            <w:tcW w:w="10832"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Verifica del rispetto della normativa appalti: commissione di gara e aggiudicazione</w:t>
            </w:r>
          </w:p>
        </w:tc>
        <w:tc>
          <w:tcPr>
            <w:tcW w:w="2779"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rispettate le norme previste dall’art. 77 del d.lgs. n. 50/2016 in relazione alla costituzione della Commissione giudicatrice?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e altra 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Eventuale regolamento interno alla stazione appaltante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ANAC n. 5</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lang w:eastAsia="it-IT"/>
              </w:rPr>
            </w:pPr>
            <w:r>
              <w:rPr>
                <w:rFonts w:eastAsia="Times New Roman" w:cs="Times New Roman" w:ascii="Garamond" w:hAnsi="Garamond"/>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Dichiarazioni di insussistenza di cause di incompatibilità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93, comma 1, d. lgs. n. 50/2016)</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prezzo più basso, ci sono i presupposti e le motivazioni per l’impiego di tale criterio ai sensi dell’art. 95, commi 4 e 5,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1226"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98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con proposta di aggiudicazione</w:t>
            </w:r>
          </w:p>
        </w:tc>
      </w:tr>
      <w:tr>
        <w:trPr>
          <w:trHeight w:val="97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di aggiudicazione</w:t>
            </w:r>
          </w:p>
        </w:tc>
      </w:tr>
      <w:tr>
        <w:trPr>
          <w:trHeight w:val="70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Attestazione assenza ricorsi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F</w:t>
            </w:r>
          </w:p>
        </w:tc>
        <w:tc>
          <w:tcPr>
            <w:tcW w:w="10832"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la stipula del contratto</w:t>
            </w:r>
          </w:p>
        </w:tc>
        <w:tc>
          <w:tcPr>
            <w:tcW w:w="2779"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mancato rispetto del termine di 35 giorni di cui al punto precedente per la stipula del contratto, ricorre una delle ipotesi di cui all’art. 32, comma 10,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17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sottoposto alla condizione sospensiva dell’esito positivo dell’eventuale approvazione e degli altri controlli previsti dalle norme proprie delle stazioni appaltanti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pPr>
              <w:pStyle w:val="Normal"/>
              <w:spacing w:lineRule="auto" w:line="240" w:before="0" w:after="0"/>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Oppure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Richiesta 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Autocertificazione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tc>
      </w:tr>
      <w:tr>
        <w:trPr>
          <w:trHeight w:val="821"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successivamente all’acquisizione di:</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Certificati della Camera di Commercio;</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Casellario giudiziale;</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DURC;</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Informativa antimafia per contratti superiori alla soglia comunitaria (IVA esclusa);</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Certificato Camera di Commercio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Casellario giudiziale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DURC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Informativa antimafia in corso di validità</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 in corso di validità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aggiudicazione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Procura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Camera di Commercio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è stato precisato che il pagamento delle spese sostenute dal soggetto attuatore viene effettuato con risorse del Fondo di Rotazione per l’attuazione dell’iniziativa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Scheda progetto/investimento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Accordo di concessione/Contratto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ammissibilità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103, comma 11, d. lgs. n. 50/2016)</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Garanzia fideiussoria</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firmato digitalmente da tutti i soggetti con poteri di firma?</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particolare: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presentato atto di conferimento dei poteri di firma in capo al soggetto della stazione appaltante?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dalla CCIAA o da altro documento si evince il potere di firma in capo all’operatore economico?</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presentata comprova dell’esito positivo della firma digitale dei contraenti?</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G</w:t>
            </w:r>
          </w:p>
        </w:tc>
        <w:tc>
          <w:tcPr>
            <w:tcW w:w="10832"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esecuzione del contratto</w:t>
            </w:r>
          </w:p>
        </w:tc>
        <w:tc>
          <w:tcPr>
            <w:tcW w:w="2779"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Verbale di inizio attività/consegna dei lavori</w:t>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color w:val="3465A4"/>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sulle varianti/modifiche</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H</w:t>
            </w:r>
          </w:p>
        </w:tc>
        <w:tc>
          <w:tcPr>
            <w:tcW w:w="10832"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Conservazione della documentazione</w:t>
            </w:r>
          </w:p>
        </w:tc>
        <w:tc>
          <w:tcPr>
            <w:tcW w:w="2779"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Fascicolo e documenti di gara</w:t>
            </w:r>
          </w:p>
        </w:tc>
      </w:tr>
    </w:tbl>
    <w:p>
      <w:pPr>
        <w:pStyle w:val="Normal"/>
        <w:rPr/>
      </w:pPr>
      <w:r>
        <w:rPr/>
      </w:r>
    </w:p>
    <w:p>
      <w:pPr>
        <w:pStyle w:val="Normal"/>
        <w:rPr/>
      </w:pPr>
      <w:r>
        <w:rPr/>
      </w:r>
    </w:p>
    <w:tbl>
      <w:tblPr>
        <w:tblW w:w="4050" w:type="pct"/>
        <w:jc w:val="center"/>
        <w:tblInd w:w="0" w:type="dxa"/>
        <w:tblCellMar>
          <w:top w:w="0" w:type="dxa"/>
          <w:left w:w="70" w:type="dxa"/>
          <w:bottom w:w="0" w:type="dxa"/>
          <w:right w:w="70" w:type="dxa"/>
        </w:tblCellMar>
        <w:tblLook w:firstRow="1" w:noVBand="1" w:lastRow="0" w:firstColumn="1" w:lastColumn="0" w:noHBand="0" w:val="04a0"/>
      </w:tblPr>
      <w:tblGrid>
        <w:gridCol w:w="9042"/>
        <w:gridCol w:w="613"/>
        <w:gridCol w:w="1917"/>
      </w:tblGrid>
      <w:tr>
        <w:trPr>
          <w:trHeight w:val="600" w:hRule="atLeast"/>
        </w:trPr>
        <w:tc>
          <w:tcPr>
            <w:tcW w:w="11572" w:type="dxa"/>
            <w:gridSpan w:val="3"/>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ESITI</w:t>
            </w:r>
          </w:p>
        </w:tc>
      </w:tr>
      <w:tr>
        <w:trPr>
          <w:trHeight w:val="465" w:hRule="atLeast"/>
        </w:trPr>
        <w:tc>
          <w:tcPr>
            <w:tcW w:w="9042" w:type="dxa"/>
            <w:vMerge w:val="restart"/>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Esito del controllo:</w:t>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pPr>
            <w:r>
              <w:rPr>
                <w:rFonts w:eastAsia="Wingdings" w:cs="Wingdings" w:ascii="Wingdings" w:hAnsi="Wingdings"/>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PARZIALMENTE 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NEGATIVO</w:t>
            </w:r>
          </w:p>
        </w:tc>
      </w:tr>
    </w:tbl>
    <w:p>
      <w:pPr>
        <w:pStyle w:val="Normal"/>
        <w:rPr/>
      </w:pPr>
      <w:r>
        <w:rPr/>
      </w:r>
    </w:p>
    <w:p>
      <w:pPr>
        <w:pStyle w:val="Normal"/>
        <w:rPr/>
      </w:pPr>
      <w:r>
        <w:rPr/>
      </w:r>
    </w:p>
    <w:p>
      <w:pPr>
        <w:pStyle w:val="Normal"/>
        <w:rPr/>
      </w:pPr>
      <w:r>
        <w:rPr/>
      </w:r>
    </w:p>
    <w:tbl>
      <w:tblPr>
        <w:tblW w:w="2900" w:type="pct"/>
        <w:jc w:val="center"/>
        <w:tblInd w:w="0" w:type="dxa"/>
        <w:tblCellMar>
          <w:top w:w="0" w:type="dxa"/>
          <w:left w:w="70" w:type="dxa"/>
          <w:bottom w:w="0" w:type="dxa"/>
          <w:right w:w="70" w:type="dxa"/>
        </w:tblCellMar>
        <w:tblLook w:firstRow="1" w:noVBand="1" w:lastRow="0" w:firstColumn="1" w:lastColumn="0" w:noHBand="0" w:val="04a0"/>
      </w:tblPr>
      <w:tblGrid>
        <w:gridCol w:w="4257"/>
        <w:gridCol w:w="4028"/>
      </w:tblGrid>
      <w:tr>
        <w:trPr>
          <w:trHeight w:val="600" w:hRule="atLeast"/>
        </w:trPr>
        <w:tc>
          <w:tcPr>
            <w:tcW w:w="4257"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
                <w:bCs/>
                <w:lang w:eastAsia="it-IT"/>
              </w:rPr>
              <w:t xml:space="preserve">€ </w:t>
            </w:r>
            <w:r>
              <w:rPr>
                <w:rFonts w:eastAsia="Times New Roman" w:cs="Times New Roman" w:ascii="Garamond" w:hAnsi="Garamond"/>
                <w:b/>
                <w:bCs/>
                <w:color w:val="auto"/>
                <w:kern w:val="0"/>
                <w:sz w:val="22"/>
                <w:szCs w:val="22"/>
                <w:lang w:val="it-IT" w:eastAsia="it-IT" w:bidi="ar-SA"/>
              </w:rPr>
              <w:t>0,00</w:t>
            </w:r>
          </w:p>
        </w:tc>
      </w:tr>
      <w:tr>
        <w:trPr>
          <w:trHeight w:val="569"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7.612,80</w:t>
            </w:r>
          </w:p>
        </w:tc>
      </w:tr>
      <w:tr>
        <w:trPr>
          <w:trHeight w:val="627"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7.612,80</w:t>
            </w:r>
          </w:p>
        </w:tc>
      </w:tr>
      <w:tr>
        <w:trPr>
          <w:trHeight w:val="693"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color w:val="auto"/>
                <w:kern w:val="0"/>
                <w:sz w:val="22"/>
                <w:szCs w:val="22"/>
                <w:lang w:val="it-IT" w:eastAsia="it-IT" w:bidi="ar-SA"/>
              </w:rPr>
              <w:t>0,00</w:t>
            </w:r>
          </w:p>
        </w:tc>
      </w:tr>
    </w:tbl>
    <w:p>
      <w:pPr>
        <w:pStyle w:val="Normal"/>
        <w:rPr/>
      </w:pPr>
      <w:r>
        <w:rPr/>
      </w:r>
    </w:p>
    <w:p>
      <w:pPr>
        <w:pStyle w:val="Normal"/>
        <w:rPr/>
      </w:pPr>
      <w:r>
        <w:rPr/>
      </w:r>
    </w:p>
    <w:tbl>
      <w:tblPr>
        <w:tblW w:w="4000" w:type="pct"/>
        <w:jc w:val="center"/>
        <w:tblInd w:w="0" w:type="dxa"/>
        <w:tblCellMar>
          <w:top w:w="0" w:type="dxa"/>
          <w:left w:w="70" w:type="dxa"/>
          <w:bottom w:w="0" w:type="dxa"/>
          <w:right w:w="70" w:type="dxa"/>
        </w:tblCellMar>
        <w:tblLook w:firstRow="1" w:noVBand="1" w:lastRow="0" w:firstColumn="1" w:lastColumn="0" w:noHBand="0" w:val="04a0"/>
      </w:tblPr>
      <w:tblGrid>
        <w:gridCol w:w="11429"/>
      </w:tblGrid>
      <w:tr>
        <w:trPr>
          <w:trHeight w:val="600" w:hRule="atLeast"/>
        </w:trPr>
        <w:tc>
          <w:tcPr>
            <w:tcW w:w="11429"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highlight w:val="yellow"/>
                <w:lang w:eastAsia="it-IT"/>
              </w:rPr>
            </w:pPr>
            <w:r>
              <w:rPr>
                <w:rFonts w:eastAsia="Times New Roman" w:cs="Times New Roman" w:ascii="Garamond" w:hAnsi="Garamond"/>
                <w:b/>
                <w:bCs/>
                <w:lang w:eastAsia="it-IT"/>
              </w:rPr>
              <w:t>Note (Osservazioni/Raccomandazioni/Segnalazione irregolarità)</w:t>
            </w:r>
          </w:p>
        </w:tc>
      </w:tr>
      <w:tr>
        <w:trPr>
          <w:trHeight w:val="1080" w:hRule="exact"/>
        </w:trPr>
        <w:tc>
          <w:tcPr>
            <w:tcW w:w="11429"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r>
    </w:tbl>
    <w:p>
      <w:pPr>
        <w:pStyle w:val="Normal"/>
        <w:rPr>
          <w:rFonts w:ascii="Garamond" w:hAnsi="Garamond"/>
        </w:rPr>
      </w:pPr>
      <w:r>
        <w:rPr>
          <w:rFonts w:ascii="Garamond" w:hAnsi="Garamond"/>
        </w:rPr>
      </w:r>
    </w:p>
    <w:tbl>
      <w:tblPr>
        <w:tblpPr w:vertAnchor="text" w:horzAnchor="page" w:leftFromText="141" w:rightFromText="141" w:tblpX="2536" w:tblpY="25"/>
        <w:tblW w:w="4000" w:type="pct"/>
        <w:jc w:val="left"/>
        <w:tblInd w:w="0" w:type="dxa"/>
        <w:tblCellMar>
          <w:top w:w="0" w:type="dxa"/>
          <w:left w:w="70" w:type="dxa"/>
          <w:bottom w:w="0" w:type="dxa"/>
          <w:right w:w="70" w:type="dxa"/>
        </w:tblCellMar>
        <w:tblLook w:firstRow="1" w:noVBand="1" w:lastRow="0" w:firstColumn="1" w:lastColumn="0" w:noHBand="0" w:val="04a0"/>
      </w:tblPr>
      <w:tblGrid>
        <w:gridCol w:w="6212"/>
        <w:gridCol w:w="5216"/>
      </w:tblGrid>
      <w:tr>
        <w:trPr>
          <w:trHeight w:val="495" w:hRule="atLeast"/>
        </w:trPr>
        <w:tc>
          <w:tcPr>
            <w:tcW w:w="62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Garamond" w:hAnsi="Garamond" w:cs="Calibri"/>
                <w:b/>
                <w:b/>
                <w:bCs/>
              </w:rPr>
            </w:pPr>
            <w:r>
              <w:rPr>
                <w:rFonts w:cs="Calibri" w:ascii="Garamond" w:hAnsi="Garamond"/>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Calibri" w:hAnsi="Calibri" w:eastAsia="Calibri" w:cs="" w:asciiTheme="minorHAnsi" w:cstheme="minorBidi" w:eastAsiaTheme="minorHAnsi" w:hAnsiTheme="minorHAnsi"/>
              </w:rPr>
            </w:pPr>
            <w:r>
              <w:rPr>
                <w:rFonts w:eastAsia="Calibri" w:cs="Calibri" w:ascii="Garamond" w:hAnsi="Garamond" w:eastAsiaTheme="minorHAnsi"/>
                <w:color w:val="000000"/>
                <w:kern w:val="0"/>
                <w:sz w:val="22"/>
                <w:szCs w:val="22"/>
                <w:lang w:val="it-IT" w:eastAsia="en-US" w:bidi="ar-SA"/>
              </w:rPr>
              <w:t>01</w:t>
            </w:r>
            <w:r>
              <w:rPr>
                <w:rFonts w:cs="Calibri" w:ascii="Garamond" w:hAnsi="Garamond"/>
              </w:rPr>
              <w:t>/06/2023, Parma</w:t>
            </w:r>
          </w:p>
        </w:tc>
      </w:tr>
      <w:tr>
        <w:trPr>
          <w:trHeight w:val="620"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Incaricato del controllo: Ing. Paola Cassinelli - Firma</w:t>
            </w:r>
          </w:p>
        </w:tc>
      </w:tr>
      <w:tr>
        <w:trPr>
          <w:trHeight w:val="558"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Responsabile del controllo: Ing. Paola Cassinelli - Firma</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pPr>
      <w:r>
        <w:rPr/>
      </w:r>
    </w:p>
    <w:p>
      <w:pPr>
        <w:pStyle w:val="Normal"/>
        <w:spacing w:before="0" w:after="160"/>
        <w:rPr>
          <w:rFonts w:ascii="Garamond" w:hAnsi="Garamond"/>
        </w:rPr>
      </w:pPr>
      <w:r>
        <w:rPr/>
      </w:r>
    </w:p>
    <w:sectPr>
      <w:headerReference w:type="default" r:id="rId2"/>
      <w:footerReference w:type="default" r:id="rId3"/>
      <w:type w:val="nextPage"/>
      <w:pgSz w:orient="landscape" w:w="16838" w:h="11906"/>
      <w:pgMar w:left="1134" w:right="1417" w:header="708"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Garamond">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Garamond" w:hAnsi="Garamond"/>
        <w:sz w:val="20"/>
        <w:szCs w:val="20"/>
      </w:rPr>
    </w:pPr>
    <w:r>
      <w:rPr>
        <w:rFonts w:ascii="Garamond" w:hAnsi="Garamond"/>
        <w:sz w:val="20"/>
        <w:szCs w:val="20"/>
      </w:rPr>
      <w:fldChar w:fldCharType="begin"/>
    </w:r>
    <w:r>
      <w:rPr>
        <w:sz w:val="20"/>
        <w:szCs w:val="20"/>
        <w:rFonts w:ascii="Garamond" w:hAnsi="Garamond"/>
      </w:rPr>
      <w:instrText> PAGE </w:instrText>
    </w:r>
    <w:r>
      <w:rPr>
        <w:sz w:val="20"/>
        <w:szCs w:val="20"/>
        <w:rFonts w:ascii="Garamond" w:hAnsi="Garamond"/>
      </w:rPr>
      <w:fldChar w:fldCharType="separate"/>
    </w:r>
    <w:r>
      <w:rPr>
        <w:sz w:val="20"/>
        <w:szCs w:val="20"/>
        <w:rFonts w:ascii="Garamond" w:hAnsi="Garamond"/>
      </w:rPr>
      <w:t>1</w:t>
    </w:r>
    <w:r>
      <w:rPr>
        <w:sz w:val="20"/>
        <w:szCs w:val="20"/>
        <w:rFonts w:ascii="Garamond" w:hAnsi="Garamond"/>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Garamond" w:hAnsi="Garamond" w:cs="Garamond"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65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082a"/>
    <w:rPr/>
  </w:style>
  <w:style w:type="character" w:styleId="FooterChar" w:customStyle="1">
    <w:name w:val="Footer Char"/>
    <w:basedOn w:val="DefaultParagraphFont"/>
    <w:link w:val="Footer"/>
    <w:uiPriority w:val="99"/>
    <w:qFormat/>
    <w:rsid w:val="00bb082a"/>
    <w:rPr/>
  </w:style>
  <w:style w:type="character" w:styleId="BalloonTextChar" w:customStyle="1">
    <w:name w:val="Balloon Text Char"/>
    <w:basedOn w:val="DefaultParagraphFont"/>
    <w:link w:val="BalloonText"/>
    <w:uiPriority w:val="99"/>
    <w:semiHidden/>
    <w:qFormat/>
    <w:rsid w:val="00bb082a"/>
    <w:rPr>
      <w:rFonts w:ascii="Segoe UI" w:hAnsi="Segoe UI" w:cs="Segoe UI"/>
      <w:sz w:val="18"/>
      <w:szCs w:val="18"/>
    </w:rPr>
  </w:style>
  <w:style w:type="character" w:styleId="ListParagraphChar" w:customStyle="1">
    <w:name w:val="List Paragraph Char"/>
    <w:link w:val="ListParagraph"/>
    <w:uiPriority w:val="34"/>
    <w:qFormat/>
    <w:locked/>
    <w:rsid w:val="00257a47"/>
    <w:rPr/>
  </w:style>
  <w:style w:type="character" w:styleId="Annotationreference">
    <w:name w:val="annotation reference"/>
    <w:basedOn w:val="DefaultParagraphFont"/>
    <w:uiPriority w:val="99"/>
    <w:semiHidden/>
    <w:unhideWhenUsed/>
    <w:qFormat/>
    <w:rsid w:val="00154096"/>
    <w:rPr>
      <w:sz w:val="16"/>
      <w:szCs w:val="16"/>
    </w:rPr>
  </w:style>
  <w:style w:type="character" w:styleId="CommentTextChar" w:customStyle="1">
    <w:name w:val="Comment Text Char"/>
    <w:basedOn w:val="DefaultParagraphFont"/>
    <w:link w:val="CommentText"/>
    <w:uiPriority w:val="99"/>
    <w:semiHidden/>
    <w:qFormat/>
    <w:rsid w:val="00154096"/>
    <w:rPr>
      <w:sz w:val="20"/>
      <w:szCs w:val="20"/>
    </w:rPr>
  </w:style>
  <w:style w:type="character" w:styleId="CommentSubjectChar" w:customStyle="1">
    <w:name w:val="Comment Subject Char"/>
    <w:basedOn w:val="CommentTextChar"/>
    <w:link w:val="CommentSubject"/>
    <w:uiPriority w:val="99"/>
    <w:semiHidden/>
    <w:qFormat/>
    <w:rsid w:val="00154096"/>
    <w:rPr>
      <w:b/>
      <w:bCs/>
      <w:sz w:val="20"/>
      <w:szCs w:val="20"/>
    </w:rPr>
  </w:style>
  <w:style w:type="character" w:styleId="BodyText2Char" w:customStyle="1">
    <w:name w:val="Body Text 2 Char"/>
    <w:basedOn w:val="DefaultParagraphFont"/>
    <w:link w:val="BodyText2"/>
    <w:uiPriority w:val="99"/>
    <w:qFormat/>
    <w:rsid w:val="00371a70"/>
    <w:rPr>
      <w:rFonts w:ascii="Tahoma" w:hAnsi="Tahoma" w:eastAsia="Times New Roman" w:cs="Tahoma"/>
      <w:sz w:val="20"/>
      <w:szCs w:val="24"/>
      <w:lang w:eastAsia="it-IT"/>
    </w:rPr>
  </w:style>
  <w:style w:type="character" w:styleId="FootnoteTextChar" w:customStyle="1">
    <w:name w:val="Footnote Text Char"/>
    <w:basedOn w:val="DefaultParagraphFont"/>
    <w:link w:val="FootnoteText"/>
    <w:uiPriority w:val="99"/>
    <w:semiHidden/>
    <w:qFormat/>
    <w:rsid w:val="002a5b0d"/>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2a5b0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bb082a"/>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unhideWhenUsed/>
    <w:rsid w:val="00bb082a"/>
    <w:pPr>
      <w:tabs>
        <w:tab w:val="clear" w:pos="708"/>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bb082a"/>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34"/>
    <w:qFormat/>
    <w:rsid w:val="007e407a"/>
    <w:pPr>
      <w:spacing w:before="0" w:after="160"/>
      <w:ind w:left="720" w:hanging="0"/>
      <w:contextualSpacing/>
    </w:pPr>
    <w:rPr/>
  </w:style>
  <w:style w:type="paragraph" w:styleId="Annotationtext">
    <w:name w:val="annotation text"/>
    <w:basedOn w:val="Normal"/>
    <w:link w:val="CommentTextChar"/>
    <w:uiPriority w:val="99"/>
    <w:semiHidden/>
    <w:unhideWhenUsed/>
    <w:qFormat/>
    <w:rsid w:val="0015409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54096"/>
    <w:pPr/>
    <w:rPr>
      <w:b/>
      <w:bCs/>
    </w:rPr>
  </w:style>
  <w:style w:type="paragraph" w:styleId="Revision">
    <w:name w:val="Revision"/>
    <w:uiPriority w:val="99"/>
    <w:semiHidden/>
    <w:qFormat/>
    <w:rsid w:val="00dc29c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BodyText2">
    <w:name w:val="Body Text 2"/>
    <w:basedOn w:val="Normal"/>
    <w:link w:val="BodyText2Char"/>
    <w:uiPriority w:val="99"/>
    <w:qFormat/>
    <w:rsid w:val="00371a70"/>
    <w:pPr>
      <w:spacing w:lineRule="auto" w:line="240" w:before="0" w:after="0"/>
    </w:pPr>
    <w:rPr>
      <w:rFonts w:ascii="Tahoma" w:hAnsi="Tahoma" w:eastAsia="Times New Roman" w:cs="Tahoma"/>
      <w:sz w:val="20"/>
      <w:szCs w:val="24"/>
      <w:lang w:eastAsia="it-IT"/>
    </w:rPr>
  </w:style>
  <w:style w:type="paragraph" w:styleId="Notaapidipagina">
    <w:name w:val="Footnote Text"/>
    <w:basedOn w:val="Normal"/>
    <w:link w:val="FootnoteTextChar"/>
    <w:uiPriority w:val="99"/>
    <w:semiHidden/>
    <w:unhideWhenUsed/>
    <w:rsid w:val="002a5b0d"/>
    <w:pPr>
      <w:spacing w:lineRule="auto" w:line="240" w:before="0" w:after="0"/>
    </w:pPr>
    <w:rPr>
      <w:sz w:val="20"/>
      <w:szCs w:val="20"/>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29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6254EF7E-CB4D-4CBF-9EBC-86ADD2434A65}">
  <ds:schemaRefs>
    <ds:schemaRef ds:uri="http://schemas.openxmlformats.org/officeDocument/2006/bibliography"/>
  </ds:schemaRefs>
</ds:datastoreItem>
</file>

<file path=customXml/itemProps4.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Application>LibreOffice/6.4.4.2$Windows_X86_64 LibreOffice_project/3d775be2011f3886db32dfd395a6a6d1ca2630ff</Application>
  <Pages>24</Pages>
  <Words>4517</Words>
  <Characters>26891</Characters>
  <CharactersWithSpaces>30868</CharactersWithSpaces>
  <Paragraphs>653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Author</dc:creator>
  <dc:description/>
  <dc:language>it-IT</dc:language>
  <cp:lastModifiedBy/>
  <dcterms:modified xsi:type="dcterms:W3CDTF">2023-06-01T18:06:10Z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