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left"/>
        <w:tblInd w:w="0" w:type="dxa"/>
        <w:tblCellMar>
          <w:top w:w="0" w:type="dxa"/>
          <w:left w:w="70" w:type="dxa"/>
          <w:bottom w:w="0" w:type="dxa"/>
          <w:right w:w="70" w:type="dxa"/>
        </w:tblCellMar>
        <w:tblLook w:firstRow="1" w:noVBand="1" w:lastRow="0" w:firstColumn="1" w:lastColumn="0" w:noHBand="0" w:val="04a0"/>
      </w:tblPr>
      <w:tblGrid>
        <w:gridCol w:w="264"/>
        <w:gridCol w:w="3256"/>
        <w:gridCol w:w="824"/>
        <w:gridCol w:w="2433"/>
        <w:gridCol w:w="3596"/>
        <w:gridCol w:w="423"/>
        <w:gridCol w:w="2750"/>
        <w:gridCol w:w="148"/>
        <w:gridCol w:w="74"/>
        <w:gridCol w:w="24"/>
        <w:gridCol w:w="169"/>
        <w:gridCol w:w="74"/>
        <w:gridCol w:w="194"/>
        <w:gridCol w:w="56"/>
      </w:tblGrid>
      <w:tr>
        <w:trPr>
          <w:trHeight w:val="31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30" w:type="dxa"/>
            <w:gridSpan w:val="7"/>
            <w:vMerge w:val="restart"/>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CHECKLIST PER LA</w:t>
            </w:r>
          </w:p>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 </w:t>
            </w:r>
            <w:r>
              <w:rPr>
                <w:rFonts w:eastAsia="Times New Roman" w:cs="Calibri" w:ascii="Garamond" w:hAnsi="Garamond" w:cstheme="minorHAnsi"/>
                <w:b/>
                <w:bCs/>
                <w:color w:val="FFFFFF"/>
                <w:lang w:eastAsia="it-IT"/>
              </w:rPr>
              <w:t xml:space="preserve">VERIFICA DELLE REGOLARITÀ AMMINISTRATIVO-CONTABILE DELLE </w:t>
            </w:r>
          </w:p>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PROCEDURE DI APPALTO AI SENSI DEL D. lgs. n. 50/2016 e ss.mm.ii.</w:t>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284"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30"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256" w:hRule="atLeast"/>
        </w:trPr>
        <w:tc>
          <w:tcPr>
            <w:tcW w:w="264" w:type="dxa"/>
            <w:tcBorders/>
            <w:shd w:color="000000" w:fill="FFFFFF" w:val="clear"/>
            <w:vAlign w:val="center"/>
          </w:tcPr>
          <w:p>
            <w:pPr>
              <w:pStyle w:val="Normal"/>
              <w:spacing w:lineRule="auto" w:line="240" w:before="0" w:after="0"/>
              <w:rPr>
                <w:rFonts w:ascii="Garamond" w:hAnsi="Garamond" w:eastAsia="Times New Roman" w:cs="Calibri" w:cstheme="minorHAnsi"/>
                <w:b/>
                <w:b/>
                <w:bCs/>
                <w:color w:val="000000"/>
                <w:lang w:eastAsia="it-IT"/>
              </w:rPr>
            </w:pPr>
            <w:r>
              <w:rPr>
                <w:rFonts w:eastAsia="Times New Roman" w:cs="Calibri" w:ascii="Garamond" w:hAnsi="Garamond" w:cstheme="minorHAnsi"/>
                <w:b/>
                <w:bCs/>
                <w:color w:val="000000"/>
                <w:lang w:eastAsia="it-IT"/>
              </w:rPr>
              <w:t> </w:t>
            </w:r>
          </w:p>
        </w:tc>
        <w:tc>
          <w:tcPr>
            <w:tcW w:w="13430"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27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30"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27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30"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27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4080"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433"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3596"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423"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750"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22"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50"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r>
      <w:tr>
        <w:trPr>
          <w:trHeight w:val="535"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4080" w:type="dxa"/>
            <w:gridSpan w:val="2"/>
            <w:tcBorders>
              <w:bottom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433" w:type="dxa"/>
            <w:tcBorders>
              <w:bottom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3596" w:type="dxa"/>
            <w:tcBorders>
              <w:bottom w:val="single" w:sz="2" w:space="0" w:color="000000"/>
            </w:tcBorders>
            <w:shd w:color="auto" w:fill="auto" w:val="clear"/>
            <w:vAlign w:val="center"/>
          </w:tcPr>
          <w:p>
            <w:pPr>
              <w:pStyle w:val="Normal"/>
              <w:spacing w:lineRule="auto" w:line="240" w:before="0" w:after="0"/>
              <w:jc w:val="right"/>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423" w:type="dxa"/>
            <w:tcBorders>
              <w:bottom w:val="single" w:sz="2" w:space="0" w:color="000000"/>
            </w:tcBorders>
            <w:shd w:color="auto" w:fill="auto" w:val="clear"/>
            <w:vAlign w:val="center"/>
          </w:tcPr>
          <w:p>
            <w:pPr>
              <w:pStyle w:val="Normal"/>
              <w:spacing w:lineRule="auto" w:line="240" w:before="0" w:after="0"/>
              <w:jc w:val="right"/>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2750" w:type="dxa"/>
            <w:tcBorders>
              <w:bottom w:val="single" w:sz="2" w:space="0" w:color="000000"/>
            </w:tcBorders>
            <w:shd w:color="auto" w:fill="auto" w:val="clear"/>
            <w:vAlign w:val="center"/>
          </w:tcPr>
          <w:p>
            <w:pPr>
              <w:pStyle w:val="Normal"/>
              <w:spacing w:lineRule="auto" w:line="240" w:before="0" w:after="0"/>
              <w:jc w:val="right"/>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222" w:type="dxa"/>
            <w:gridSpan w:val="2"/>
            <w:tcBorders>
              <w:bottom w:val="single" w:sz="2"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50"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r>
      <w:tr>
        <w:trPr>
          <w:trHeight w:val="535"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528" w:type="dxa"/>
            <w:gridSpan w:val="9"/>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Anagrafica Intervento</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Missione</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4: Istruzione e ricerca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Componente</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1 – Potenziamento dell’offerta dei servizi di istruzione: dagli asili nido alle Università</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Misura/sub-misura</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M4C1I3.3</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Riforma o investimento/ sub-investimento</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 </w:t>
            </w:r>
            <w:r>
              <w:rPr>
                <w:rFonts w:eastAsia="Times New Roman" w:cs="Calibri" w:ascii="Garamond" w:hAnsi="Garamond" w:cstheme="minorHAnsi"/>
                <w:lang w:eastAsia="it-IT"/>
              </w:rPr>
              <w:t>3.3: Piano di messa in sicurezza e riqualificazione dell’edilizia scolastica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CUP</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D99F19000050003</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Titolo intervento</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miglioramento sismico Liceo Romagnosi 1° stralcio</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highlight w:val="yellow"/>
                <w:lang w:eastAsia="it-IT"/>
              </w:rPr>
            </w:pPr>
            <w:r>
              <w:rPr>
                <w:rFonts w:eastAsia="Times New Roman" w:cs="Calibri" w:ascii="Garamond" w:hAnsi="Garamond" w:cstheme="minorHAnsi"/>
                <w:b/>
                <w:bCs/>
                <w:color w:val="FFFFFF"/>
                <w:lang w:eastAsia="it-IT"/>
              </w:rPr>
              <w:t>Soggetto Attuatore</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Provincia di Parma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highlight w:val="yellow"/>
                <w:lang w:eastAsia="it-IT"/>
              </w:rPr>
            </w:pPr>
            <w:r>
              <w:rPr>
                <w:rFonts w:eastAsia="Times New Roman" w:cs="Calibri" w:ascii="Garamond" w:hAnsi="Garamond" w:cstheme="minorHAnsi"/>
                <w:b/>
                <w:bCs/>
                <w:color w:val="FFFFFF"/>
                <w:lang w:eastAsia="it-IT"/>
              </w:rPr>
              <w:t>Soggetto Realizzatore</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pPr>
            <w:r>
              <w:rPr>
                <w:rFonts w:eastAsia="Times New Roman" w:cs="Calibri" w:ascii="Garamond" w:hAnsi="Garamond" w:cstheme="minorHAnsi"/>
                <w:b/>
                <w:bCs/>
                <w:color w:val="3465A4"/>
                <w:lang w:eastAsia="it-IT"/>
              </w:rPr>
              <w:t>Non individuato alla data del presente controllo</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Costo totale intervento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479.548,50 di cui IVA € 45.673,77</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di cui costo ammesso PNRR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479.548,50 di cui IVA € 45.673,77</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Tipologia affidamento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Lavori</w:t>
            </w:r>
          </w:p>
          <w:p>
            <w:pPr>
              <w:pStyle w:val="Normal"/>
              <w:spacing w:lineRule="auto" w:line="240" w:before="0" w:after="0"/>
              <w:rPr>
                <w:rFonts w:ascii="Garamond" w:hAnsi="Garamond" w:eastAsia="Times New Roman" w:cs="Calibri" w:cstheme="minorHAnsi"/>
                <w:lang w:eastAsia="it-IT"/>
              </w:rPr>
            </w:pPr>
            <w:r>
              <w:rPr>
                <w:rFonts w:eastAsia="Wingdings" w:cs="Wingdings" w:ascii="Wingdings" w:hAnsi="Wingdings"/>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Acquisto fornitura o servizi</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Misti</w:t>
            </w:r>
          </w:p>
          <w:p>
            <w:pPr>
              <w:pStyle w:val="Normal"/>
              <w:spacing w:lineRule="auto" w:line="240" w:before="0" w:after="0"/>
              <w:rPr>
                <w:rFonts w:ascii="Garamond" w:hAnsi="Garamond" w:eastAsia="Times New Roman" w:cs="Calibri" w:cstheme="minorHAnsi"/>
                <w:lang w:eastAsia="it-IT"/>
              </w:rPr>
            </w:pPr>
            <w:r>
              <w:rPr>
                <w:rFonts w:eastAsia="Wingdings" w:cs="Wingdings" w:ascii="Wingdings" w:hAnsi="Wingdings"/>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Affidamento diretto</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negoziata senza previa pubblicazione di bando ex art. 63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aperta ex art. 60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ristretta ex art. 61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competitiva con negoziazione ex art. 62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Dialogo competitivo ex art. 64 d.lgs. n. 50/2016 (Procedura aperta, ristretta, etc.)</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Appalto congiunto di progettazione ed esecuzione lavori sulla base del PFTE ex art. 48 D.L. n. 77/2021</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Appalto congiunto di progettazione ed esecuzione lavori sulla base del progetto definitivo ex art. 1, comma 1, D.L. 32/2019 così come prorogato dall’art. 52 D.L. 77/2021 e ss.mm.ii.</w:t>
            </w:r>
          </w:p>
          <w:p>
            <w:pPr>
              <w:pStyle w:val="Normal"/>
              <w:spacing w:lineRule="auto" w:line="240" w:before="0" w:after="0"/>
              <w:rPr/>
            </w:pPr>
            <w:r>
              <w:rPr>
                <w:rFonts w:eastAsia="Symbol" w:cs="Symbol" w:ascii="Symbol" w:hAnsi="Symbol"/>
                <w:lang w:eastAsia="it-IT"/>
              </w:rPr>
              <w:t></w:t>
            </w:r>
            <w:r>
              <w:rPr/>
              <w:t xml:space="preserve"> </w:t>
            </w:r>
            <w:r>
              <w:rPr>
                <w:rFonts w:eastAsia="Times New Roman" w:cs="Calibri" w:ascii="Garamond" w:hAnsi="Garamond" w:cstheme="minorHAnsi"/>
                <w:lang w:eastAsia="it-IT"/>
              </w:rPr>
              <w:t>Altro (specificare)</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CIG</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cs="Calibri" w:cstheme="minorHAnsi"/>
              </w:rPr>
            </w:pPr>
            <w:r>
              <w:rPr>
                <w:rFonts w:eastAsia="Times New Roman" w:cs="Calibri" w:ascii="Garamond" w:hAnsi="Garamond" w:cstheme="minorHAnsi"/>
                <w:lang w:eastAsia="it-IT"/>
              </w:rPr>
              <w:t>9862159F0D</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Titolo bando di gara</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cs="Calibri" w:cstheme="minorHAnsi"/>
              </w:rPr>
            </w:pPr>
            <w:r>
              <w:rPr>
                <w:rFonts w:eastAsia="Times New Roman" w:cs="Calibri" w:ascii="Garamond" w:hAnsi="Garamond" w:cstheme="minorHAnsi"/>
                <w:lang w:eastAsia="it-IT"/>
              </w:rPr>
              <w:t>ISTITUTO “G.D. ROMAGNOSI” - PROGETTO DI MIGLIORAMENTO SISMICO LICEO CLASSICO "G.D. ROMAGNOSI" SITO IN VIALE MARIA LUIGIA N. 1 – PARMA – 1° STRALCIO - CUP D97H21001240001  - Predisposizione elaborati/pratica per l’ottenimento di autorizzazione ai sensi dell’art. 21 del Decreto Legislativo 22 gennaio 2004, n. 42</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Atto di riferimento</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cs="Calibri" w:cstheme="minorHAnsi"/>
              </w:rPr>
            </w:pPr>
            <w:r>
              <w:rPr>
                <w:rFonts w:eastAsia="Times New Roman" w:cs="Calibri" w:ascii="Garamond" w:hAnsi="Garamond" w:cstheme="minorHAnsi"/>
                <w:lang w:eastAsia="it-IT"/>
              </w:rPr>
              <w:t xml:space="preserve">(Determina a contrarre, riferimento del contratto stipulato, data, RDO/ODA) - </w:t>
            </w:r>
            <w:r>
              <w:rPr>
                <w:rFonts w:eastAsia="Times New Roman" w:cs="Calibri" w:ascii="Garamond" w:hAnsi="Garamond" w:cstheme="minorHAnsi"/>
                <w:b/>
                <w:bCs/>
                <w:color w:val="3465A4"/>
                <w:lang w:eastAsia="it-IT"/>
              </w:rPr>
              <w:t>Atto di affidamento adottando</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431"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Localizzazione intervento</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LICEO CLASSICO "G.D. ROMAGNOSI"</w:t>
            </w:r>
          </w:p>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 xml:space="preserve">Viale </w:t>
            </w:r>
            <w:r>
              <w:rPr>
                <w:rFonts w:eastAsia="Times New Roman" w:cs="Calibri" w:ascii="Garamond" w:hAnsi="Garamond" w:cstheme="minorHAnsi"/>
                <w:color w:val="auto"/>
                <w:kern w:val="0"/>
                <w:sz w:val="22"/>
                <w:szCs w:val="22"/>
                <w:lang w:val="it-IT" w:eastAsia="it-IT" w:bidi="ar-SA"/>
              </w:rPr>
              <w:t>M</w:t>
            </w:r>
            <w:r>
              <w:rPr>
                <w:rFonts w:eastAsia="Times New Roman" w:cs="Calibri" w:ascii="Garamond" w:hAnsi="Garamond" w:cstheme="minorHAnsi"/>
                <w:lang w:eastAsia="it-IT"/>
              </w:rPr>
              <w:t>aria Luigia n. 1 – Parma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8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Data di avvio e conclusione affidamento </w:t>
            </w:r>
          </w:p>
        </w:tc>
        <w:tc>
          <w:tcPr>
            <w:tcW w:w="10272" w:type="dxa"/>
            <w:gridSpan w:val="8"/>
            <w:tcBorders>
              <w:top w:val="single" w:sz="2" w:space="0" w:color="000000"/>
              <w:left w:val="single" w:sz="2" w:space="0" w:color="000000"/>
              <w:bottom w:val="single" w:sz="4" w:space="0" w:color="000000"/>
              <w:right w:val="single" w:sz="2" w:space="0" w:color="000000"/>
            </w:tcBorders>
            <w:shd w:color="auto" w:fill="auto" w:val="clear"/>
            <w:vAlign w:val="center"/>
          </w:tcPr>
          <w:p>
            <w:pPr>
              <w:pStyle w:val="Normal"/>
              <w:spacing w:lineRule="auto" w:line="240" w:before="0" w:after="0"/>
              <w:rPr>
                <w:rFonts w:cs="Calibri" w:cstheme="minorHAnsi"/>
              </w:rPr>
            </w:pPr>
            <w:r>
              <w:rPr>
                <w:rFonts w:eastAsia="Times New Roman" w:cs="Calibri" w:ascii="Garamond" w:hAnsi="Garamond" w:cstheme="minorHAnsi"/>
                <w:lang w:eastAsia="it-IT"/>
              </w:rPr>
              <w:t>Avvio: [01/06/2023 (avvio Trattativa diretta su SATER)]</w:t>
            </w:r>
          </w:p>
          <w:p>
            <w:pPr>
              <w:pStyle w:val="Normal"/>
              <w:spacing w:lineRule="auto" w:line="240" w:before="0" w:after="0"/>
              <w:rPr/>
            </w:pPr>
            <w:r>
              <w:rPr>
                <w:rFonts w:eastAsia="Times New Roman" w:cs="Calibri" w:ascii="Garamond" w:hAnsi="Garamond" w:cstheme="minorHAnsi"/>
                <w:lang w:eastAsia="it-IT"/>
              </w:rPr>
              <w:t>Conclusione: [</w:t>
            </w:r>
            <w:r>
              <w:rPr>
                <w:rFonts w:eastAsia="Times New Roman" w:cs="Calibri" w:ascii="Garamond" w:hAnsi="Garamond" w:cstheme="minorHAnsi"/>
                <w:b/>
                <w:bCs/>
                <w:color w:val="3465A4"/>
                <w:lang w:eastAsia="it-IT"/>
              </w:rPr>
              <w:t>data atto di affidamento adottando</w:t>
            </w:r>
            <w:r>
              <w:rPr>
                <w:rFonts w:eastAsia="Times New Roman" w:cs="Calibri" w:ascii="Garamond" w:hAnsi="Garamond" w:cstheme="minorHAnsi"/>
                <w:lang w:eastAsia="it-IT"/>
              </w:rPr>
              <w:t>]</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Importo della procedura </w:t>
            </w:r>
          </w:p>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(importo a base di gara)</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Calibri" w:hAnsi="Calibri" w:eastAsia="Calibri" w:cs="" w:asciiTheme="minorHAnsi" w:cstheme="minorBidi" w:eastAsiaTheme="minorHAnsi" w:hAnsiTheme="minorHAnsi"/>
              </w:rPr>
            </w:pPr>
            <w:r>
              <w:rPr>
                <w:rFonts w:eastAsia="Calibri" w:cs="" w:cstheme="minorBidi" w:eastAsiaTheme="minorHAnsi"/>
              </w:rPr>
              <w:t xml:space="preserve">€ </w:t>
            </w:r>
            <w:r>
              <w:rPr>
                <w:rFonts w:eastAsia="Calibri" w:cs="" w:cstheme="minorBidi" w:eastAsiaTheme="minorHAnsi"/>
              </w:rPr>
              <w:t>6.091,87</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Rilevanza comunitaria</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 xml:space="preserve">Sopra soglia comunitaria                              </w:t>
            </w:r>
            <w:r>
              <w:rPr>
                <w:rFonts w:eastAsia="Wingdings" w:cs="Wingdings" w:ascii="Wingdings" w:hAnsi="Wingdings"/>
                <w:lang w:eastAsia="it-IT"/>
              </w:rPr>
              <w:t></w:t>
            </w:r>
            <w:r>
              <w:rPr>
                <w:rFonts w:eastAsia="Times New Roman" w:cs="Calibri" w:ascii="Garamond" w:hAnsi="Garamond" w:cstheme="minorHAnsi"/>
                <w:lang w:eastAsia="it-IT"/>
              </w:rPr>
              <w:t xml:space="preserve"> Sotto soglia comunitaria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Criterio di aggiudicazione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Wingdings" w:cs="Wingdings" w:ascii="Wingdings" w:hAnsi="Wingdings"/>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Sulla base dell’elemento prezzo o del costo</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Sulla base del miglior rapporto qualità/prezzo</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Sulla base del prezzo o costo fisso in base a criteri qualitativi</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Altro (specificare)</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Titolare del contratto/convenzione</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pPr>
            <w:r>
              <w:rPr>
                <w:rFonts w:eastAsia="Times New Roman" w:cs="Calibri" w:ascii="Garamond" w:hAnsi="Garamond" w:cstheme="minorHAnsi"/>
                <w:lang w:eastAsia="it-IT"/>
              </w:rPr>
              <w:t>Arch. Gianluca Mora - Via Giuditta Sidoli, 67 - 43123 Parma (PR)    - Partita I.V.A. 02606130348</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Estremi contratto/convenzione</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cs="Calibri" w:cstheme="minorHAnsi"/>
                <w:b/>
                <w:b/>
                <w:bCs/>
              </w:rPr>
            </w:pPr>
            <w:r>
              <w:rPr>
                <w:rFonts w:eastAsia="Times New Roman" w:cs="Calibri" w:ascii="Garamond" w:hAnsi="Garamond" w:cstheme="minorHAnsi"/>
                <w:b/>
                <w:bCs/>
                <w:color w:val="3465A4"/>
                <w:lang w:eastAsia="it-IT"/>
              </w:rPr>
              <w:t>Stipulato a seguito di avvenuta esecutività dell’atto adottando</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Importo netto contratto</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olor w:val="auto"/>
                <w:kern w:val="0"/>
                <w:sz w:val="22"/>
                <w:szCs w:val="22"/>
                <w:lang w:val="it-IT" w:eastAsia="it-IT" w:bidi="ar-SA"/>
              </w:rPr>
            </w:pPr>
            <w:r>
              <w:rPr>
                <w:rFonts w:eastAsia="Calibri" w:cs="" w:cstheme="minorBidi" w:eastAsiaTheme="minorHAnsi"/>
                <w:color w:val="000000"/>
                <w:kern w:val="0"/>
                <w:sz w:val="22"/>
                <w:szCs w:val="22"/>
                <w:lang w:val="it-IT" w:eastAsia="it-IT" w:bidi="ar-SA"/>
              </w:rPr>
              <w:t xml:space="preserve">€ </w:t>
            </w:r>
            <w:r>
              <w:rPr>
                <w:rFonts w:eastAsia="Calibri" w:cs="" w:cstheme="minorBidi" w:eastAsiaTheme="minorHAnsi"/>
                <w:color w:val="000000"/>
                <w:kern w:val="0"/>
                <w:sz w:val="22"/>
                <w:szCs w:val="22"/>
                <w:lang w:val="it-IT" w:eastAsia="it-IT" w:bidi="ar-SA"/>
              </w:rPr>
              <w:t>6.000,00</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Importo IVA e altri oneri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Calibri" w:hAnsi="Calibri" w:eastAsia="Calibri" w:cs="" w:asciiTheme="minorHAnsi" w:cstheme="minorBidi" w:eastAsiaTheme="minorHAnsi" w:hAnsiTheme="minorHAnsi"/>
              </w:rPr>
            </w:pPr>
            <w:r>
              <w:rPr>
                <w:rFonts w:eastAsia="Calibri" w:cs="" w:eastAsiaTheme="minorHAnsi"/>
                <w:lang w:eastAsia="it-IT"/>
              </w:rPr>
              <w:t xml:space="preserve">€ </w:t>
            </w:r>
            <w:r>
              <w:rPr>
                <w:rFonts w:eastAsia="Calibri" w:cs="" w:eastAsiaTheme="minorHAnsi"/>
                <w:lang w:eastAsia="it-IT"/>
              </w:rPr>
              <w:t>1.612,80</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Importo totale del contratto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cs="Calibri" w:cstheme="minorHAnsi"/>
              </w:rPr>
            </w:pPr>
            <w:r>
              <w:rPr>
                <w:rFonts w:eastAsia="Calibri" w:cs=""/>
                <w:lang w:eastAsia="it-IT"/>
              </w:rPr>
              <w:t xml:space="preserve">€ </w:t>
            </w:r>
            <w:r>
              <w:rPr>
                <w:rFonts w:eastAsia="Calibri" w:cs=""/>
                <w:lang w:eastAsia="it-IT"/>
              </w:rPr>
              <w:t>7.612,80</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Ribasso offerto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auto"/>
                <w:kern w:val="0"/>
                <w:sz w:val="22"/>
                <w:szCs w:val="22"/>
                <w:lang w:val="it-IT" w:eastAsia="it-IT" w:bidi="ar-SA"/>
              </w:rPr>
            </w:pPr>
            <w:r>
              <w:rPr>
                <w:rFonts w:eastAsia="Times New Roman" w:cs="Calibri" w:ascii="Garamond" w:hAnsi="Garamond" w:cstheme="minorHAnsi"/>
                <w:color w:val="000000"/>
                <w:kern w:val="0"/>
                <w:sz w:val="22"/>
                <w:szCs w:val="22"/>
                <w:lang w:val="it-IT" w:eastAsia="it-IT" w:bidi="ar-SA"/>
              </w:rPr>
              <w:t>1,51%</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Luogo di conservazione della documentazione</w:t>
            </w:r>
          </w:p>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color w:val="FFFFFF"/>
                <w:sz w:val="18"/>
                <w:szCs w:val="18"/>
                <w:lang w:eastAsia="it-IT"/>
              </w:rPr>
              <w:t>(</w:t>
            </w:r>
            <w:r>
              <w:rPr>
                <w:rFonts w:eastAsia="Times New Roman" w:cs="Calibri" w:ascii="Garamond" w:hAnsi="Garamond" w:cstheme="minorHAnsi"/>
                <w:color w:val="FFFFFF" w:themeColor="background1"/>
                <w:sz w:val="18"/>
                <w:szCs w:val="18"/>
                <w:lang w:eastAsia="it-IT"/>
              </w:rPr>
              <w:t>Ente/Ufficio/Stanza o Server/archivio informatico</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Provincia di Parma/U.O. Edilizia Scolastica + Server/archivio informatico Provincia di Parma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bl>
    <w:p>
      <w:pPr>
        <w:pStyle w:val="Normal"/>
        <w:rPr>
          <w:rFonts w:ascii="Garamond" w:hAnsi="Garamond"/>
        </w:rPr>
      </w:pPr>
      <w:r>
        <w:rPr>
          <w:rFonts w:ascii="Garamond" w:hAnsi="Garamond"/>
        </w:rPr>
      </w:r>
    </w:p>
    <w:p>
      <w:pPr>
        <w:pStyle w:val="Normal"/>
        <w:rPr>
          <w:rFonts w:ascii="Garamond" w:hAnsi="Garamond"/>
        </w:rPr>
      </w:pPr>
      <w:r>
        <w:rPr>
          <w:rFonts w:ascii="Garamond" w:hAnsi="Garamond"/>
        </w:rPr>
      </w:r>
    </w:p>
    <w:tbl>
      <w:tblPr>
        <w:tblW w:w="5000" w:type="pct"/>
        <w:jc w:val="left"/>
        <w:tblInd w:w="0" w:type="dxa"/>
        <w:tblCellMar>
          <w:top w:w="0" w:type="dxa"/>
          <w:left w:w="70" w:type="dxa"/>
          <w:bottom w:w="0" w:type="dxa"/>
          <w:right w:w="70" w:type="dxa"/>
        </w:tblCellMar>
        <w:tblLook w:firstRow="1" w:noVBand="1" w:lastRow="0" w:firstColumn="1" w:lastColumn="0" w:noHBand="0" w:val="04a0"/>
      </w:tblPr>
      <w:tblGrid>
        <w:gridCol w:w="674"/>
        <w:gridCol w:w="4546"/>
        <w:gridCol w:w="568"/>
        <w:gridCol w:w="682"/>
        <w:gridCol w:w="797"/>
        <w:gridCol w:w="2203"/>
        <w:gridCol w:w="2039"/>
        <w:gridCol w:w="2776"/>
      </w:tblGrid>
      <w:tr>
        <w:trPr>
          <w:tblHeader w:val="true"/>
          <w:trHeight w:val="1500" w:hRule="atLeast"/>
        </w:trPr>
        <w:tc>
          <w:tcPr>
            <w:tcW w:w="5220" w:type="dxa"/>
            <w:gridSpan w:val="2"/>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Verifica affidamento/esecuzione appalto</w:t>
            </w:r>
          </w:p>
        </w:tc>
        <w:tc>
          <w:tcPr>
            <w:tcW w:w="568"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SI</w:t>
            </w:r>
          </w:p>
        </w:tc>
        <w:tc>
          <w:tcPr>
            <w:tcW w:w="682"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NO</w:t>
            </w:r>
          </w:p>
        </w:tc>
        <w:tc>
          <w:tcPr>
            <w:tcW w:w="797"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N.A.</w:t>
            </w:r>
          </w:p>
        </w:tc>
        <w:tc>
          <w:tcPr>
            <w:tcW w:w="2203"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Elenco dei documenti verificati</w:t>
            </w:r>
          </w:p>
        </w:tc>
        <w:tc>
          <w:tcPr>
            <w:tcW w:w="2039"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Note</w:t>
            </w:r>
          </w:p>
        </w:tc>
        <w:tc>
          <w:tcPr>
            <w:tcW w:w="2776" w:type="dxa"/>
            <w:tcBorders>
              <w:top w:val="single" w:sz="4" w:space="0" w:color="000000"/>
              <w:left w:val="single" w:sz="4" w:space="0" w:color="000000"/>
              <w:bottom w:val="single" w:sz="4" w:space="0" w:color="000000"/>
              <w:right w:val="single" w:sz="4" w:space="0" w:color="000000"/>
            </w:tcBorders>
            <w:shd w:color="auto" w:fill="CCCCFF" w:val="clear"/>
            <w:vAlign w:val="center"/>
          </w:tcPr>
          <w:p>
            <w:pPr>
              <w:pStyle w:val="Normal"/>
              <w:spacing w:lineRule="auto" w:line="240" w:before="0" w:after="0"/>
              <w:jc w:val="center"/>
              <w:rPr>
                <w:rFonts w:ascii="Garamond" w:hAnsi="Garamond" w:eastAsia="Times New Roman" w:cs="Calibri" w:cstheme="minorHAnsi"/>
                <w:b/>
                <w:b/>
                <w:bCs/>
                <w:lang w:eastAsia="it-IT"/>
              </w:rPr>
            </w:pPr>
            <w:r>
              <w:rPr>
                <w:rFonts w:eastAsia="Times New Roman" w:cs="Calibri" w:ascii="Garamond" w:hAnsi="Garamond" w:cstheme="minorHAnsi"/>
                <w:b/>
                <w:bCs/>
                <w:lang w:eastAsia="it-IT"/>
              </w:rPr>
              <w:t>Oggetto del controllo</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w:t>
            </w:r>
          </w:p>
        </w:tc>
        <w:tc>
          <w:tcPr>
            <w:tcW w:w="13611" w:type="dxa"/>
            <w:gridSpan w:val="7"/>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lang w:eastAsia="it-IT"/>
              </w:rPr>
              <w:t xml:space="preserve">Parte generale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highlight w:val="green"/>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È stata verificata la veridicità e correttezza delle Dichiarazioni sostitutive di atto notorio (DSAN) in merito all’assenza del conflitto di interessi e situazioni di incompatibilità?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Cs/>
                <w:color w:val="000000"/>
                <w:lang w:eastAsia="it-IT"/>
              </w:rPr>
            </w:pPr>
            <w:r>
              <w:rPr>
                <w:rFonts w:eastAsia="Times New Roman" w:cs="Times New Roman" w:ascii="Garamond" w:hAnsi="Garamond"/>
                <w:b/>
                <w:bCs/>
                <w:color w:val="000000"/>
                <w:lang w:eastAsia="it-IT"/>
              </w:rPr>
              <w:t>Dichiarazioni fornite all’interno della Piattaforma digitale utilizzata per la procedura di affidamento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Atti di gara (Bando, avviso, capitolato, altro);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DSAN </w:t>
            </w:r>
          </w:p>
        </w:tc>
      </w:tr>
      <w:tr>
        <w:trPr>
          <w:trHeight w:val="135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fornita documentazione utile all’individuazione del titolare effettivo del soggetto realizzatore?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Cs/>
                <w:color w:val="000000"/>
                <w:lang w:eastAsia="it-IT"/>
              </w:rPr>
            </w:pPr>
            <w:r>
              <w:rPr>
                <w:rFonts w:eastAsia="Times New Roman" w:cs="Times New Roman" w:ascii="Garamond" w:hAnsi="Garamond"/>
                <w:b/>
                <w:bCs/>
                <w:color w:val="000000"/>
                <w:lang w:eastAsia="it-IT"/>
              </w:rPr>
              <w:t>Dichiarazioni fornite all’interno della Piattaforma digitale utilizzata per la procedura di affidamento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 xml:space="preserve">DSAN </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Visura camerale</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 xml:space="preserve">Format per la comunicazione dei dati necessari per l’identificazione del titolare effettivo </w:t>
            </w:r>
          </w:p>
        </w:tc>
      </w:tr>
      <w:tr>
        <w:trPr>
          <w:trHeight w:val="82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verificato il contributo del progetto al conseguimento del target associato alla misura e il contributo alla valorizzazione dell’indicatore comune?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Elaborati analitici e grafici relativi alle fasi progettuali già approvate;</w:t>
            </w:r>
          </w:p>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Atti di gara (Bando, avviso, capitolato, altro);</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Atto di riconducibilità per i progetti in essere;</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Contratto di appalto</w:t>
            </w:r>
          </w:p>
        </w:tc>
      </w:tr>
      <w:tr>
        <w:trPr>
          <w:trHeight w:val="66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highlight w:val="yellow"/>
                <w:lang w:eastAsia="it-IT"/>
              </w:rPr>
            </w:pPr>
            <w:r>
              <w:rPr>
                <w:rFonts w:eastAsia="Times New Roman" w:cs="Times New Roman" w:ascii="Garamond" w:hAnsi="Garamond"/>
                <w:color w:val="000000"/>
                <w:lang w:eastAsia="it-IT"/>
              </w:rPr>
              <w:t>La procedura di affidamento oggetto di controllo, nell’ambito degli ulteriori requisiti PNRR contribuisce al principio del tagging del clima o del tagging digitale?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Documentazione relativa alla procedura di affidamento espletata su piattaforma digitale </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highlight w:val="yellow"/>
                <w:lang w:eastAsia="it-IT"/>
              </w:rPr>
            </w:pPr>
            <w:r>
              <w:rPr>
                <w:rFonts w:eastAsia="Times New Roman" w:cs="Times New Roman" w:ascii="Garamond" w:hAnsi="Garamond"/>
                <w:color w:val="000000"/>
                <w:highlight w:val="yellow"/>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Atti di gara (Bando, avviso, capitolato, altro);</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 xml:space="preserve">Atto di riconducibilità per i progetti in essere </w:t>
            </w:r>
          </w:p>
          <w:p>
            <w:pPr>
              <w:pStyle w:val="Normal"/>
              <w:spacing w:lineRule="auto" w:line="240" w:before="0" w:after="0"/>
              <w:rPr>
                <w:rFonts w:ascii="Garamond" w:hAnsi="Garamond" w:eastAsia="Times New Roman" w:cs="Times New Roman"/>
                <w:color w:val="000000"/>
                <w:sz w:val="20"/>
                <w:szCs w:val="20"/>
                <w:highlight w:val="yellow"/>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Contratto di appalto</w:t>
            </w:r>
          </w:p>
        </w:tc>
      </w:tr>
      <w:tr>
        <w:trPr>
          <w:trHeight w:val="173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L’oggetto della procedura di affidamento rispetta, ove applicabili, i seguenti principi trasversali previsti dal Regolamento (UE) 241/2021:</w:t>
            </w:r>
          </w:p>
          <w:p>
            <w:pPr>
              <w:pStyle w:val="ListParagraph"/>
              <w:numPr>
                <w:ilvl w:val="0"/>
                <w:numId w:val="2"/>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principio della parità di genere (Gender Equality);</w:t>
            </w:r>
          </w:p>
          <w:p>
            <w:pPr>
              <w:pStyle w:val="ListParagraph"/>
              <w:numPr>
                <w:ilvl w:val="0"/>
                <w:numId w:val="2"/>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principio di protezione e valorizzazione dei giovani;</w:t>
            </w:r>
          </w:p>
          <w:p>
            <w:pPr>
              <w:pStyle w:val="ListParagraph"/>
              <w:numPr>
                <w:ilvl w:val="0"/>
                <w:numId w:val="2"/>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principio di superamento dei divari territoriali.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Documentazione relativa alla procedura di affidamento espletata su piattaforma digitale </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Atti di gara (Bando, avviso, capitolato, altro);</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Atto di riconducibilità per i progetti in essere</w:t>
            </w:r>
          </w:p>
        </w:tc>
      </w:tr>
      <w:tr>
        <w:trPr>
          <w:trHeight w:val="186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La documentazione relativa all’affidamento (Determina a contrarre, Bando, disciplinare/ capitolato/avviso/ecc.) riporta il riferimento al finanziamento da parte dell’Unione europea e all’iniziativa </w:t>
            </w:r>
            <w:r>
              <w:rPr>
                <w:rFonts w:eastAsia="Times New Roman" w:cs="Times New Roman" w:ascii="Garamond" w:hAnsi="Garamond"/>
                <w:i/>
                <w:iCs/>
                <w:color w:val="000000"/>
                <w:lang w:eastAsia="it-IT"/>
              </w:rPr>
              <w:t>Next Generation EU</w:t>
            </w:r>
            <w:r>
              <w:rPr>
                <w:rFonts w:eastAsia="Times New Roman" w:cs="Times New Roman" w:ascii="Garamond" w:hAnsi="Garamond"/>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highlight w:val="yellow"/>
                <w:lang w:eastAsia="it-IT"/>
              </w:rPr>
            </w:pPr>
            <w:r>
              <w:rPr>
                <w:rFonts w:eastAsia="Times New Roman" w:cs="Times New Roman" w:ascii="Garamond" w:hAnsi="Garamond"/>
                <w:b/>
                <w:bCs/>
                <w:color w:val="000000"/>
                <w:highlight w:val="yellow"/>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Bando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riconducibilità nel caso di progetti in essere</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B</w:t>
            </w:r>
          </w:p>
        </w:tc>
        <w:tc>
          <w:tcPr>
            <w:tcW w:w="13611" w:type="dxa"/>
            <w:gridSpan w:val="7"/>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Verifica del rispetto del principio di non arrecare danno significativo all’ambiente (DNSH)</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Per l’esecuzione di lavori/servizi/forniture è stato applicato il Regime (1 o 2) previsto per la specifica Misura?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 </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Progetto/Scheda progettuale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Documentazione DNSH</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Allineamento della prestazione agli obiettivi del progetto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Documentazione di gara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 xml:space="preserve">• </w:t>
            </w:r>
            <w:r>
              <w:rPr>
                <w:rFonts w:eastAsia="Times New Roman" w:cs="Times New Roman" w:ascii="Garamond" w:hAnsi="Garamond"/>
                <w:color w:val="000000"/>
                <w:sz w:val="20"/>
                <w:lang w:eastAsia="it-IT"/>
              </w:rPr>
              <w:t>CL di autocontrollo procedura di selezione dei fornitori</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Contratto</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Dichiarazione DNSH</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Sono state correttamente compilate le check list volte a dimostrare il rispetto del principio di non arrecare danno significativo all’ambiente (DNSH) così come indicato nelle apposite linee guida?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CL di autocontrollo procedura di selezione dei fornitori</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CL di autocontrollo procedura di selezione dei fornitori</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C</w:t>
            </w:r>
          </w:p>
        </w:tc>
        <w:tc>
          <w:tcPr>
            <w:tcW w:w="13611" w:type="dxa"/>
            <w:gridSpan w:val="7"/>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rPr>
                <w:rFonts w:ascii="Garamond" w:hAnsi="Garamond" w:eastAsia="Times New Roman" w:cs="Times New Roman"/>
                <w:color w:val="000000"/>
                <w:highlight w:val="yellow"/>
                <w:lang w:eastAsia="it-IT"/>
              </w:rPr>
            </w:pPr>
            <w:r>
              <w:rPr>
                <w:rFonts w:eastAsia="Times New Roman" w:cs="Times New Roman" w:ascii="Garamond" w:hAnsi="Garamond"/>
                <w:b/>
                <w:bCs/>
                <w:lang w:eastAsia="it-IT"/>
              </w:rPr>
              <w:t xml:space="preserve">Determina a contrarre e documenti di gara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highlight w:val="green"/>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Sono stati rispettati </w:t>
            </w:r>
            <w:r>
              <w:rPr>
                <w:rFonts w:eastAsia="Times New Roman" w:cs="Times New Roman" w:ascii="Garamond" w:hAnsi="Garamond"/>
                <w:bCs/>
                <w:color w:val="000000"/>
                <w:lang w:eastAsia="it-IT"/>
              </w:rPr>
              <w:t>gli</w:t>
            </w:r>
            <w:r>
              <w:rPr>
                <w:rFonts w:eastAsia="Times New Roman" w:cs="Times New Roman" w:ascii="Garamond" w:hAnsi="Garamond"/>
                <w:color w:val="000000"/>
                <w:lang w:eastAsia="it-IT"/>
              </w:rPr>
              <w:t xml:space="preserve"> adempimenti relativi alla Pianificazione e Programmazione dei lavori/acquisti e i relativi obblighi di pubblicità?</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Strumenti di programmazione dell’Ente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 xml:space="preserve">Per l’effettuazione della specifica verifica si rimanda agli artt. 21 e 29 d.lgs. n. 50/2016.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Programma biennale delle forniture e servizi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Programma triennale lavori</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approvazione del Programma biennale/triennale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Link profilo committente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sito informatico del Ministero delle infrastrutture e dei trasporti e dell’Osservatorio</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è in possesso della qualificazione prevista all’art. 38 del d.lgs. n. 50/2016 e ha rispettato quanto disposto dall’art. 37 del d.lgs.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82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Laddove la stazione appaltante sia un Comune non capoluogo di Provincia ha proceduto secondo le modalità previste dall'art. 37 co. 4 del d. lgs. 50/2016, in particolare:</w:t>
            </w:r>
          </w:p>
          <w:p>
            <w:pPr>
              <w:pStyle w:val="ListParagraph"/>
              <w:numPr>
                <w:ilvl w:val="0"/>
                <w:numId w:val="6"/>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ricorrendo ad una Centrale di committenza o a soggetti aggregatori qualificati?</w:t>
            </w:r>
          </w:p>
          <w:p>
            <w:pPr>
              <w:pStyle w:val="ListParagraph"/>
              <w:numPr>
                <w:ilvl w:val="0"/>
                <w:numId w:val="6"/>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mediante unioni di Comuni costituite o qualificate come Centrali di committenza, o associandosi o consorziandosi in Centrali di committenza?</w:t>
            </w:r>
          </w:p>
          <w:p>
            <w:pPr>
              <w:pStyle w:val="ListParagraph"/>
              <w:numPr>
                <w:ilvl w:val="0"/>
                <w:numId w:val="6"/>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ricorrendo alla Stazione unica appaltante ai sensi dell’art.37 co. 4 d.lgs.50/2016?</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N.B.: comma in deroga fino al 30 giugno 2023, ma non per i progetti cofinanziati con PNRR o PNC</w:t>
            </w:r>
          </w:p>
          <w:p>
            <w:pPr>
              <w:pStyle w:val="Normal"/>
              <w:spacing w:lineRule="auto" w:line="240" w:before="0" w:after="0"/>
              <w:jc w:val="both"/>
              <w:rPr>
                <w:rFonts w:ascii="Garamond" w:hAnsi="Garamond" w:eastAsia="Times New Roman" w:cs="Times New Roman"/>
                <w:i/>
                <w:i/>
                <w:iCs/>
                <w:color w:val="000000"/>
                <w:lang w:eastAsia="it-IT"/>
              </w:rPr>
            </w:pPr>
            <w:r>
              <w:rPr>
                <w:rFonts w:eastAsia="Times New Roman" w:cs="Times New Roman" w:ascii="Garamond" w:hAnsi="Garamond"/>
                <w:i/>
                <w:iCs/>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Stazione Appaltante è la Provincia di Parma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Determina a contrarre</w:t>
            </w:r>
          </w:p>
        </w:tc>
      </w:tr>
      <w:tr>
        <w:trPr>
          <w:trHeight w:val="82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nominato il Responsabile unico del procedimento ai sensi dell’art. 31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nomina del RUP</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Atto di nomina del RUP</w:t>
            </w:r>
          </w:p>
        </w:tc>
      </w:tr>
      <w:tr>
        <w:trPr>
          <w:trHeight w:val="66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highlight w:val="yellow"/>
                <w:lang w:eastAsia="it-IT"/>
              </w:rPr>
            </w:pPr>
            <w:r>
              <w:rPr>
                <w:rFonts w:eastAsia="Times New Roman" w:cs="Times New Roman" w:ascii="Garamond" w:hAnsi="Garamond"/>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highlight w:val="yellow"/>
                <w:lang w:eastAsia="it-IT"/>
              </w:rPr>
            </w:pPr>
            <w:r>
              <w:rPr>
                <w:rFonts w:eastAsia="Times New Roman" w:cs="Times New Roman" w:ascii="Garamond" w:hAnsi="Garamond"/>
                <w:b/>
                <w:bCs/>
                <w:color w:val="000000"/>
                <w:highlight w:val="yellow"/>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highlight w:val="yellow"/>
                <w:lang w:eastAsia="it-IT"/>
              </w:rPr>
            </w:pPr>
            <w:r>
              <w:rPr>
                <w:rFonts w:eastAsia="Times New Roman" w:cs="Times New Roman" w:ascii="Garamond" w:hAnsi="Garamond"/>
                <w:color w:val="000000"/>
                <w:highlight w:val="yellow"/>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Per l’effettuazione della specifica verifica si rimanda agli Artt. 23,26, 27 D.lgs. 50/2016.</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Progetto di fattibilità tecnica ed economica, progetto definitivo, progetto esecutivo;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Atti di approvazione dei progetti/Atti di validazione del RUP</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Verbali di verifica svolti in contraddittorio con i progettisti</w:t>
            </w:r>
          </w:p>
        </w:tc>
      </w:tr>
      <w:tr>
        <w:trPr>
          <w:trHeight w:val="173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La determina/delibera a contrarre/di affidamento contiene le informazioni essenziali richieste dal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b/>
                <w:b/>
                <w:bCs/>
                <w:color w:val="000000"/>
                <w:sz w:val="20"/>
                <w:lang w:eastAsia="it-IT"/>
              </w:rPr>
            </w:pPr>
            <w:r>
              <w:rPr>
                <w:rFonts w:eastAsia="Times New Roman" w:cs="Times New Roman" w:ascii="Garamond" w:hAnsi="Garamond"/>
                <w:color w:val="000000"/>
                <w:sz w:val="20"/>
                <w:lang w:eastAsia="it-IT"/>
              </w:rPr>
              <w:t xml:space="preserve">Per l’effettuazione della specifica verifica si rimanda all’art. 32 d. lgs. n. 50/2016.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b/>
                <w:bCs/>
                <w:color w:val="000000"/>
                <w:sz w:val="20"/>
                <w:lang w:eastAsia="it-IT"/>
              </w:rPr>
              <w:t>•</w:t>
            </w:r>
            <w:r>
              <w:rPr>
                <w:rFonts w:eastAsia="Times New Roman" w:cs="Times New Roman" w:ascii="Garamond" w:hAnsi="Garamond"/>
                <w:color w:val="000000"/>
                <w:sz w:val="20"/>
                <w:lang w:eastAsia="it-IT"/>
              </w:rPr>
              <w:t>Determina a contrarre o atto analogo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Documentazione di gara (se approvata dalla determina)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Dimostrazione dell’avvenuta pubblicazione ai sensi dell'art. 29 d.lgs. n. 50/2016</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Il valore stimato dell'appalto (lavori/servizi/ forniture) ai fini della scelta della procedura di affidamento: </w:t>
            </w:r>
          </w:p>
          <w:p>
            <w:pPr>
              <w:pStyle w:val="ListParagraph"/>
              <w:numPr>
                <w:ilvl w:val="0"/>
                <w:numId w:val="3"/>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basato sull'importo totale pagabile, al netto dell’I.V.A.?</w:t>
              <w:tab/>
            </w:r>
          </w:p>
          <w:p>
            <w:pPr>
              <w:pStyle w:val="ListParagraph"/>
              <w:numPr>
                <w:ilvl w:val="0"/>
                <w:numId w:val="3"/>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comprensivo di qualsiasi forma di opzione e/o rinnovo del contratto?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di </w:t>
            </w:r>
            <w:r>
              <w:rPr>
                <w:rFonts w:eastAsia="Times New Roman" w:cs="Times New Roman" w:ascii="Garamond" w:hAnsi="Garamond"/>
                <w:b/>
                <w:color w:val="000000"/>
                <w:lang w:eastAsia="it-IT"/>
              </w:rPr>
              <w:t>affidamento diretto</w:t>
            </w:r>
            <w:r>
              <w:rPr>
                <w:rFonts w:eastAsia="Times New Roman" w:cs="Times New Roman" w:ascii="Garamond" w:hAnsi="Garamond"/>
                <w:color w:val="000000"/>
                <w:lang w:eastAsia="it-IT"/>
              </w:rPr>
              <w:t>, lo stesso risulta adeguatamente motivato?</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rispettato le eventuali disposizioni contenute nei propri regolamenti interni relative all'affidamento diretto?</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valutato il possesso dei requisiti di carattere generale, nonché il possesso dei requisiti tecnico-professionali, ove richiesto?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di </w:t>
            </w:r>
            <w:r>
              <w:rPr>
                <w:rFonts w:eastAsia="Times New Roman" w:cs="Times New Roman" w:ascii="Garamond" w:hAnsi="Garamond"/>
                <w:b/>
                <w:color w:val="000000"/>
                <w:lang w:eastAsia="it-IT"/>
              </w:rPr>
              <w:t>affidamenti diretti previa valutazione di preventivi</w:t>
            </w:r>
            <w:r>
              <w:rPr>
                <w:rFonts w:eastAsia="Times New Roman" w:cs="Times New Roman" w:ascii="Garamond" w:hAnsi="Garamond"/>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pubblicizzato sul suo sito l’avvio della consultazione e i risultati finali concernenti l’aggiudicazione?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L’avviso sui risultati della consultazione contiene anche l’elenco degli operatori invitati?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di affidamenti mediante </w:t>
            </w:r>
            <w:r>
              <w:rPr>
                <w:rFonts w:eastAsia="Times New Roman" w:cs="Times New Roman" w:ascii="Garamond" w:hAnsi="Garamond"/>
                <w:b/>
                <w:color w:val="000000"/>
                <w:lang w:eastAsia="it-IT"/>
              </w:rPr>
              <w:t>procedura negoziata senza pubblicazione del bando (ex art. 63 del d.lgs. n. 50/2016)</w:t>
            </w:r>
            <w:r>
              <w:rPr>
                <w:rFonts w:eastAsia="Times New Roman" w:cs="Times New Roman" w:ascii="Garamond" w:hAnsi="Garamond"/>
                <w:color w:val="000000"/>
                <w:lang w:eastAsia="it-IT"/>
              </w:rPr>
              <w:t>, l’invito degli operatori è stato fatto nel rispetto delle norme vigenti e del principio di rotazione dei fornitori?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pubblicizzato sul suo sito l’avvio della consultazione e i risultati finali concernenti l’aggiudicazione?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L’avviso sui risultati della consultazione contiene anche l’elenco degli operatori invitati?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La documentazione relativa all’affidamento (determina a contrarre, bando, disciplinare/ capitolato/ avviso/ecc.) riporta il riferimento esplicito al finanziamento da parte dell’Unione europea e all’iniziativa </w:t>
            </w:r>
            <w:r>
              <w:rPr>
                <w:rFonts w:eastAsia="Times New Roman" w:cs="Times New Roman" w:ascii="Garamond" w:hAnsi="Garamond"/>
                <w:i/>
                <w:iCs/>
                <w:color w:val="000000"/>
                <w:lang w:eastAsia="it-IT"/>
              </w:rPr>
              <w:t>Next Generation EU</w:t>
            </w:r>
            <w:r>
              <w:rPr>
                <w:rFonts w:eastAsia="Times New Roman" w:cs="Times New Roman" w:ascii="Garamond" w:hAnsi="Garamond"/>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Determina a contrarre o atto analogo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 xml:space="preserve">Bando </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Capitolato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Atto di riconducibilità nel caso di progetti in essere</w:t>
            </w:r>
          </w:p>
        </w:tc>
      </w:tr>
      <w:tr>
        <w:trPr>
          <w:trHeight w:val="131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CIG e il CUP e sono stati riportati nella documentazione relativa all’affidamento?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CIG</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CUP</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Bando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riconducibilità nel caso di progetti in essere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descrizione del CUP è coerente con le finalità dell’Investimento, nonché in fase di acquisizione del CUP è stato indicato che il progetto ricade nell’ambito del PNRR?</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Scheda CUP</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CUP</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Nella documentazione di gara sono specificati:</w:t>
            </w:r>
          </w:p>
          <w:p>
            <w:pPr>
              <w:pStyle w:val="ListParagraph"/>
              <w:numPr>
                <w:ilvl w:val="0"/>
                <w:numId w:val="7"/>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descrizione esaustiva dell’oggetto del contratto/appalto?</w:t>
            </w:r>
          </w:p>
          <w:p>
            <w:pPr>
              <w:pStyle w:val="ListParagraph"/>
              <w:numPr>
                <w:ilvl w:val="0"/>
                <w:numId w:val="7"/>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criteri di selezione degli operatori economici? </w:t>
            </w:r>
          </w:p>
          <w:p>
            <w:pPr>
              <w:pStyle w:val="ListParagraph"/>
              <w:numPr>
                <w:ilvl w:val="0"/>
                <w:numId w:val="7"/>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criteri di aggiudicazione?</w:t>
            </w:r>
          </w:p>
          <w:p>
            <w:pPr>
              <w:pStyle w:val="ListParagraph"/>
              <w:numPr>
                <w:ilvl w:val="0"/>
                <w:numId w:val="7"/>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criteri di valutazione e la relativa ponderazione?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 criteri di selezione riguardano esclusivamente:</w:t>
            </w:r>
          </w:p>
          <w:p>
            <w:pPr>
              <w:pStyle w:val="ListParagraph"/>
              <w:numPr>
                <w:ilvl w:val="0"/>
                <w:numId w:val="8"/>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i requisiti d’idoneità professionale?</w:t>
            </w:r>
          </w:p>
          <w:p>
            <w:pPr>
              <w:pStyle w:val="ListParagraph"/>
              <w:numPr>
                <w:ilvl w:val="0"/>
                <w:numId w:val="8"/>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la capacità economica e finanziaria?</w:t>
            </w:r>
          </w:p>
          <w:p>
            <w:pPr>
              <w:pStyle w:val="ListParagraph"/>
              <w:numPr>
                <w:ilvl w:val="0"/>
                <w:numId w:val="8"/>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 capacità tecniche e professionali?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CL autocontrollo procedura di selezione dei fornitori</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Se l’appalto è suddiviso in lotti funzionali o prestazionali, per la definizione delle soglie è stato computato il valore complessivo stimato della totalità di tali lotti ai sensi dell’art. 35, comma 9, del d.lgs. n. 50/2016?</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dato evidenza delle ragioni oggettive che lo giustificano?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 costi della sicurezza sono stati scorporati dal costo dell’importo assoggettato a ribasso (art. 23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Nella documentazione di gara (bando/lettera d’invito/Capitolato speciale d’appalto) è prevista:</w:t>
            </w:r>
          </w:p>
          <w:p>
            <w:pPr>
              <w:pStyle w:val="ListParagraph"/>
              <w:numPr>
                <w:ilvl w:val="0"/>
                <w:numId w:val="5"/>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possibilità di modifiche/varianti ai sensi dell’art. 106 del codice die contratti?</w:t>
            </w:r>
          </w:p>
          <w:p>
            <w:pPr>
              <w:pStyle w:val="ListParagraph"/>
              <w:numPr>
                <w:ilvl w:val="0"/>
                <w:numId w:val="5"/>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la possibilità di subappalto?</w:t>
            </w:r>
          </w:p>
          <w:p>
            <w:pPr>
              <w:pStyle w:val="ListParagraph"/>
              <w:numPr>
                <w:ilvl w:val="0"/>
                <w:numId w:val="5"/>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la possibilità di avvalimento?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Invito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Nella documentazione di gara sono inserite le specifiche tecniche atte a garantire il rispetto del principio di non arrecare danno significativo all’ambiente? (DNSH)?</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 di gara</w:t>
            </w:r>
          </w:p>
        </w:tc>
      </w:tr>
      <w:tr>
        <w:trPr>
          <w:trHeight w:val="182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i/>
                <w:i/>
                <w:color w:val="000000"/>
                <w:lang w:eastAsia="it-IT"/>
              </w:rPr>
            </w:pPr>
            <w:r>
              <w:rPr>
                <w:rFonts w:eastAsia="Times New Roman" w:cs="Times New Roman" w:ascii="Garamond" w:hAnsi="Garamond"/>
                <w:i/>
                <w:color w:val="000000"/>
                <w:lang w:eastAsia="it-IT"/>
              </w:rPr>
              <w:t>*nelle more dell’entrata in vigore dell’indicata Banca Dati, si ritiene che tali atti, devono continuare ad essere pubblicati sulla piattaforma del MIMS (Parere MIMS n. 1300/2022)</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Link al sito del committente nella Sezione Amministrazione Trasparente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al sito del committente nella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Sezione Amministrazione Trasparente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al sito ANAC</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CL autocontrollo procedura di selezione dei fornitori</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rispettato quanto previsto dagli artt. 72 e 73 del d.l.gs n. 50/2016, dal D.M. del 02/12/2016, e dall’art. 1, comma 2, del D.L. n. 76/2020 e ss.mm.ii ovvero dall’art. 36, comma 9, del d.lgs. n. 50/2016, in materia di pubblicazione degli avvisi e dei bandi di gara?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GUUE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Estremi GURI</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Copie delle pubblicazioni sui Quotidiani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di collegamento ai siti informatici</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CL autocontrollo procedura di selezione dei fornitori</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di procedure superiori alla soglia comunitaria, i concorrenti hanno presentato il Documento di Gara Unico Europeo (DGUE) ai sensi dell’art. 85 d.lgs. n. 50/2016 in formato elettronico?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DGUE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DGUE</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w:t>
            </w:r>
          </w:p>
        </w:tc>
        <w:tc>
          <w:tcPr>
            <w:tcW w:w="10835"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Affidamenti in house</w:t>
            </w:r>
          </w:p>
        </w:tc>
        <w:tc>
          <w:tcPr>
            <w:tcW w:w="2776"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si sia fatto ricorso all’affidamento </w:t>
            </w:r>
            <w:r>
              <w:rPr>
                <w:rFonts w:eastAsia="Times New Roman" w:cs="Times New Roman" w:ascii="Garamond" w:hAnsi="Garamond"/>
                <w:i/>
                <w:iCs/>
                <w:color w:val="000000"/>
                <w:lang w:eastAsia="it-IT"/>
              </w:rPr>
              <w:t>in house</w:t>
            </w:r>
            <w:r>
              <w:rPr>
                <w:rFonts w:eastAsia="Times New Roman" w:cs="Times New Roman" w:ascii="Garamond" w:hAnsi="Garamond"/>
                <w:color w:val="000000"/>
                <w:lang w:eastAsia="it-IT"/>
              </w:rPr>
              <w:t>, sono soddisfatte tutte le condizioni di cui all’art. 5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 xml:space="preserve">Statuto ente in house; atto formale di riconoscimento della natura di </w:t>
            </w:r>
            <w:r>
              <w:rPr>
                <w:rFonts w:eastAsia="Times New Roman" w:cs="Times New Roman" w:ascii="Garamond" w:hAnsi="Garamond"/>
                <w:i/>
                <w:iCs/>
                <w:color w:val="000000"/>
                <w:sz w:val="20"/>
                <w:lang w:eastAsia="it-IT"/>
              </w:rPr>
              <w:t xml:space="preserve">in house providing </w:t>
            </w:r>
            <w:r>
              <w:rPr>
                <w:rFonts w:eastAsia="Times New Roman" w:cs="Times New Roman" w:ascii="Garamond" w:hAnsi="Garamond"/>
                <w:color w:val="000000"/>
                <w:sz w:val="20"/>
                <w:lang w:eastAsia="it-IT"/>
              </w:rPr>
              <w:t>dell’ente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si sia fatto ricorso all’affidamento </w:t>
            </w:r>
            <w:r>
              <w:rPr>
                <w:rFonts w:eastAsia="Times New Roman" w:cs="Times New Roman" w:ascii="Garamond" w:hAnsi="Garamond"/>
                <w:i/>
                <w:iCs/>
                <w:color w:val="000000"/>
                <w:lang w:eastAsia="it-IT"/>
              </w:rPr>
              <w:t>in house</w:t>
            </w:r>
            <w:r>
              <w:rPr>
                <w:rFonts w:eastAsia="Times New Roman" w:cs="Times New Roman" w:ascii="Garamond" w:hAnsi="Garamond"/>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Atto/rapporto recante la valutazione di congruità economica</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Provvedimento di affidamento e documentazione attestante la verifica di congruità tecnica ed economica dell'offerta presentata dall'ente in house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Il provvedimento di affidamento </w:t>
            </w:r>
            <w:r>
              <w:rPr>
                <w:rFonts w:eastAsia="Times New Roman" w:cs="Times New Roman" w:ascii="Garamond" w:hAnsi="Garamond"/>
                <w:i/>
                <w:iCs/>
                <w:color w:val="000000"/>
                <w:lang w:eastAsia="it-IT"/>
              </w:rPr>
              <w:t>in house</w:t>
            </w:r>
            <w:r>
              <w:rPr>
                <w:rFonts w:eastAsia="Times New Roman" w:cs="Times New Roman" w:ascii="Garamond" w:hAnsi="Garamond"/>
                <w:color w:val="000000"/>
                <w:lang w:eastAsia="it-IT"/>
              </w:rPr>
              <w:t xml:space="preserve"> contiene le motivazioni del mancato ricorso al mercato?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Sono adeguatamente motivate le ragioni dell’affidamento </w:t>
            </w:r>
            <w:r>
              <w:rPr>
                <w:rFonts w:eastAsia="Times New Roman" w:cs="Times New Roman" w:ascii="Garamond" w:hAnsi="Garamond"/>
                <w:i/>
                <w:iCs/>
                <w:color w:val="000000"/>
                <w:lang w:eastAsia="it-IT"/>
              </w:rPr>
              <w:t xml:space="preserve">in house </w:t>
            </w:r>
            <w:r>
              <w:rPr>
                <w:rFonts w:eastAsia="Times New Roman" w:cs="Times New Roman" w:ascii="Garamond" w:hAnsi="Garamond"/>
                <w:color w:val="000000"/>
                <w:lang w:eastAsia="it-IT"/>
              </w:rPr>
              <w:t>in ordine a requisiti di efficienza, economicità, qualità del servizio nonché ottimale impiego delle risorse pubbliche?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Atto di affidamento del servizio/contratto</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E</w:t>
            </w:r>
          </w:p>
        </w:tc>
        <w:tc>
          <w:tcPr>
            <w:tcW w:w="10835"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Verifica del rispetto della normativa appalti: commissione di gara e aggiudicazione</w:t>
            </w:r>
          </w:p>
        </w:tc>
        <w:tc>
          <w:tcPr>
            <w:tcW w:w="2776"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Sono state rispettate le norme previste dall’art. 77 del d.lgs. n. 50/2016 in relazione alla costituzione della Commissione giudicatrice?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nomina dei commissari e di costituzione della Commissione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 e altra documentazione di gara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Eventuale regolamento interno alla stazione appaltante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Commissione giudicatrice è composta da un numero dispari di componenti, in numero massimo di cinque, esperti nello specifico settore cui si riferisce l’oggetto del contratto?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nomina dei commissari e di costituzione della Commissione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Linee guida ANAC n. 5</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lang w:eastAsia="it-IT"/>
              </w:rPr>
            </w:pPr>
            <w:r>
              <w:rPr>
                <w:rFonts w:eastAsia="Times New Roman" w:cs="Times New Roman" w:ascii="Garamond" w:hAnsi="Garamond"/>
                <w:lang w:eastAsia="it-IT"/>
              </w:rPr>
              <w:t>Nella nomina dei commissari, sono state rispettate le ulteriori clausole di incompatibilità previste ai commi 4, 5, 6 e 9 dell’art. 77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nomina dei commissari e di costituzione della Commissione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Dichiarazioni di insussistenza di cause di incompatibilità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lang w:eastAsia="it-IT"/>
              </w:rPr>
            </w:pPr>
            <w:r>
              <w:rPr>
                <w:rFonts w:eastAsia="Times New Roman" w:cs="Times New Roman" w:ascii="Garamond" w:hAnsi="Garamond"/>
                <w:lang w:eastAsia="it-IT"/>
              </w:rPr>
              <w:t>La scelta dei criteri di aggiudicazione dell’appalto è stata effettuata dalla Stazione Appaltante in conformità con le disposizioni previste dall'art. 95 del d.lgs. n. 50/2016, commi 2, 3, 6 e 7?</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nomina e la costituzione della Commissione sono avvenute successivamente alla scadenza dei termini fissati per la presentazione delle offerte (art. 77, comma 7,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Affidamento di cui all’articolo 36, comma 2, lettera a) relativamente al quale l’Amministrazione si è avvalsa della facoltà di non richiedere la garanzia (art. 93, comma 1, d. lgs. n. 50/2016)</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sia stato applicato il criterio del prezzo più basso, ci sono i presupposti e le motivazioni per l’impiego di tale criterio ai sensi dell’art. 95, commi 4 e 5, del d.lgs. n. 50/2016?</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valutazione del prezzo è conforme a quanto disposto dall’art. 95 del d. lgs. n. 50/2016 (offerte inferiori a base di gara, non condizionate, non parziali, verifica eventuali calcoli composizione prezzo offerto)?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verifica dei requisiti generali è avvenuta tenendo conto dei motivi di esclusione previsti all’art. 80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tc>
      </w:tr>
      <w:tr>
        <w:trPr>
          <w:trHeight w:val="1226"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Sono stati redatti i verbali delle operazioni di gara da parte del RUP e/o dalla Commissione giudicatrice?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Verbali commissione</w:t>
            </w:r>
          </w:p>
        </w:tc>
      </w:tr>
      <w:tr>
        <w:trPr>
          <w:trHeight w:val="1030"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verificata l’eventuale esclusione di offerte anormalmente basse e sono stati comunicati in seduta pubblica gli esiti del procedimento di anomalia delle offerte?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Verbali commissione</w:t>
            </w:r>
          </w:p>
        </w:tc>
      </w:tr>
      <w:tr>
        <w:trPr>
          <w:trHeight w:val="98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Decreto/determina con proposta di aggiudicazione</w:t>
            </w:r>
          </w:p>
        </w:tc>
      </w:tr>
      <w:tr>
        <w:trPr>
          <w:trHeight w:val="97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ascii="Garamond" w:hAnsi="Garamond"/>
              </w:rPr>
              <w:t xml:space="preserve">L’aggiudicazione è avvenuta sulla base dei criteri indicati nella documentazione di gara?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Decreto/determina di aggiudicazione</w:t>
            </w:r>
          </w:p>
        </w:tc>
      </w:tr>
      <w:tr>
        <w:trPr>
          <w:trHeight w:val="70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acquisita la dichiarazione della Stazione appaltante con cui viene attestata la presenza/assenza di ricorsi avverso l’aggiudicazione?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Attestazione assenza ricorsi</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F</w:t>
            </w:r>
          </w:p>
        </w:tc>
        <w:tc>
          <w:tcPr>
            <w:tcW w:w="10835"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Verifica del rispetto della normativa appalti: la stipula del contratto</w:t>
            </w:r>
          </w:p>
        </w:tc>
        <w:tc>
          <w:tcPr>
            <w:tcW w:w="2776"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stipulato decorso il termine di 35 giorni dall’invio dell’ultima delle comunicazioni del provvedimento di aggiudicazione definitiva ai sensi dell'art. 32, comma 9,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030"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 caso di mancato rispetto del termine di 35 giorni di cui al punto precedente per la stipula del contratto, ricorre una delle ipotesi di cui all’art. 32, comma 10, del d.lgs. n. 50/2016?</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17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L’eventuale esecuzione anticipata del contratto nei casi di urgenza è avvenuta su richiesta della stazione appaltante nei modi e alle condizioni previste al comma 8 dell’art. 32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83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sottoposto alla condizione sospensiva dell’esito positivo dell’eventuale approvazione e degli altri controlli previsti dalle norme proprie delle stazioni appaltanti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83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pPr>
              <w:pStyle w:val="Normal"/>
              <w:spacing w:lineRule="auto" w:line="240" w:before="0" w:after="0"/>
              <w:rPr>
                <w:rFonts w:ascii="Garamond" w:hAnsi="Garamond" w:eastAsia="Times New Roman" w:cs="Times New Roman"/>
                <w:i/>
                <w:i/>
                <w:color w:val="000000"/>
                <w:lang w:eastAsia="it-IT"/>
              </w:rPr>
            </w:pPr>
            <w:r>
              <w:rPr>
                <w:rFonts w:eastAsia="Times New Roman" w:cs="Times New Roman" w:ascii="Garamond" w:hAnsi="Garamond"/>
                <w:i/>
                <w:color w:val="000000"/>
                <w:lang w:eastAsia="it-IT"/>
              </w:rPr>
              <w:t>Oppure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b) nei casi di cui all’art. 92, comma 3, del d.lgs. n. 159 del 2011, senza l’informativa prefettizia sotto condizione risolutiva??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Comunicazione antimafia</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Richiesta comunicazione antimafia</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Autocertificazione</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Contratto</w:t>
            </w:r>
          </w:p>
        </w:tc>
      </w:tr>
      <w:tr>
        <w:trPr>
          <w:trHeight w:val="821"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stipulato successivamente all’acquisizione di:</w:t>
            </w:r>
          </w:p>
          <w:p>
            <w:pPr>
              <w:pStyle w:val="ListParagraph"/>
              <w:numPr>
                <w:ilvl w:val="0"/>
                <w:numId w:val="1"/>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Certificati della Camera di Commercio;</w:t>
            </w:r>
          </w:p>
          <w:p>
            <w:pPr>
              <w:pStyle w:val="ListParagraph"/>
              <w:numPr>
                <w:ilvl w:val="0"/>
                <w:numId w:val="1"/>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Casellario giudiziale;</w:t>
            </w:r>
          </w:p>
          <w:p>
            <w:pPr>
              <w:pStyle w:val="ListParagraph"/>
              <w:numPr>
                <w:ilvl w:val="0"/>
                <w:numId w:val="1"/>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DURC;</w:t>
            </w:r>
          </w:p>
          <w:p>
            <w:pPr>
              <w:pStyle w:val="ListParagraph"/>
              <w:numPr>
                <w:ilvl w:val="0"/>
                <w:numId w:val="1"/>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Informativa antimafia per contratti superiori alla soglia comunitaria (IVA esclusa);</w:t>
            </w:r>
          </w:p>
          <w:p>
            <w:pPr>
              <w:pStyle w:val="ListParagraph"/>
              <w:numPr>
                <w:ilvl w:val="0"/>
                <w:numId w:val="1"/>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Comunicazione antimafia per contratti di importo superiore a 150.000,00 € ma inferiore alla soglia comunitaria (IVA esclusa)?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Certificato Camera di Commercio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Casellario giudiziale</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 xml:space="preserve">DURC </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Informativa antimafia in corso di validità</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Comunicazione antimafia in corso di validità</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stipulato secondo le forme e modalità previste dall’art. 32, comma 14, del d. lgs. n. 50/2016 e firmato da soggetti con poteri di firma?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Atto di aggiudicazione</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Contratto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Procura</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Camera di Commercio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contratto è stato precisato che il pagamento delle spese sostenute dal soggetto attuatore viene effettuato con risorse del Fondo di Rotazione per l’attuazione dell’iniziativa </w:t>
            </w:r>
            <w:r>
              <w:rPr>
                <w:rFonts w:eastAsia="Times New Roman" w:cs="Times New Roman" w:ascii="Garamond" w:hAnsi="Garamond"/>
                <w:i/>
                <w:iCs/>
                <w:color w:val="000000"/>
                <w:lang w:eastAsia="it-IT"/>
              </w:rPr>
              <w:t>Next Generation EU</w:t>
            </w:r>
            <w:r>
              <w:rPr>
                <w:rFonts w:eastAsia="Times New Roman" w:cs="Times New Roman" w:ascii="Garamond" w:hAnsi="Garamond"/>
                <w:color w:val="000000"/>
                <w:lang w:eastAsia="it-IT"/>
              </w:rPr>
              <w:t xml:space="preserve"> – Italia?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Scheda progetto/investimento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Accordo di concessione/Contratto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Linee guida ammissibilità</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lang w:eastAsia="it-IT"/>
              </w:rPr>
            </w:pPr>
            <w:r>
              <w:rPr>
                <w:rFonts w:eastAsia="Times New Roman" w:cs="Times New Roman" w:ascii="Garamond" w:hAnsi="Garamond"/>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Affidamento di cui all’articolo 36, comma 2, lettera a) relativamente al quale l’Amministrazione si è avvalsa della facoltà di non richiedere la garanzia (art. 103, comma 11, d. lgs. n. 50/2016)</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Garanzia fideiussoria</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firmato digitalmente da tutti i soggetti con poteri di firma?</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 particolare:</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presentato atto di conferimento dei poteri di firma in capo al soggetto della stazione appaltante?</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dalla CCIAA o da altro documento si evince il potere di firma in capo all’operatore economico?</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presentata comprova dell’esito positivo della firma digitale dei contraenti?</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dichiarato/verificato che i certificati di firma utilizzati fossero validi e conformi al disposto dell’art. 1, comma 1, lett. f), del d.lgs. 7 marzo 2005, n. 82?</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G</w:t>
            </w:r>
          </w:p>
        </w:tc>
        <w:tc>
          <w:tcPr>
            <w:tcW w:w="10835"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Verifica del rispetto della normativa appalti: esecuzione del contratto</w:t>
            </w:r>
          </w:p>
        </w:tc>
        <w:tc>
          <w:tcPr>
            <w:tcW w:w="2776"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07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È presente il verbale di inizio attività/consegna lavori parziale/definitiva?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Verbale di inizio attività/consegna dei lavori</w:t>
            </w:r>
          </w:p>
        </w:tc>
      </w:tr>
      <w:tr>
        <w:trPr>
          <w:trHeight w:val="107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lang w:eastAsia="it-IT"/>
              </w:rPr>
            </w:pPr>
            <w:r>
              <w:rPr>
                <w:rFonts w:eastAsia="Times New Roman" w:cs="Times New Roman" w:ascii="Garamond" w:hAnsi="Garamond"/>
                <w:color w:val="000000"/>
                <w:lang w:eastAsia="it-IT"/>
              </w:rPr>
              <w:t>È stato rispettato quanto previsto dall’ art. 105 del d. lgs. n. 50/2016 in merito al subappalto?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color w:val="3465A4"/>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 di gara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 eventuali modifiche o varianti sono state autorizzate dal RUP con le modalità previste dall’ordinamento della stazione appaltante cui il RUP dipende, ai sensi dell’art. 106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Atti sulle varianti/modifiche</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È stata rispettata la durata prevista nel contratto?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la durata del contratto sia stata modificata in corso di esecuzione, sono agli atti della SA i verbali di proroga, sospensione e ripresa dei lavori?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 certificati di pagamento relativi agli stati di avanzamento sono sottoscritti dal RUP, dalla DL e dal CSE ove previsto?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emesso il verbale di ultimazione lavori?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trasmesso il certificato di regolare esecuzione/collaudo/certificato di verifica di conformità?</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H</w:t>
            </w:r>
          </w:p>
        </w:tc>
        <w:tc>
          <w:tcPr>
            <w:tcW w:w="10835"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Conservazione della documentazione</w:t>
            </w:r>
          </w:p>
        </w:tc>
        <w:tc>
          <w:tcPr>
            <w:tcW w:w="2776"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Fascicolo e documenti di gara</w:t>
            </w:r>
          </w:p>
        </w:tc>
      </w:tr>
    </w:tbl>
    <w:p>
      <w:pPr>
        <w:pStyle w:val="Normal"/>
        <w:rPr/>
      </w:pPr>
      <w:r>
        <w:rPr/>
      </w:r>
    </w:p>
    <w:p>
      <w:pPr>
        <w:pStyle w:val="Normal"/>
        <w:rPr/>
      </w:pPr>
      <w:r>
        <w:rPr/>
      </w:r>
    </w:p>
    <w:tbl>
      <w:tblPr>
        <w:tblW w:w="4050" w:type="pct"/>
        <w:jc w:val="center"/>
        <w:tblInd w:w="0" w:type="dxa"/>
        <w:tblCellMar>
          <w:top w:w="0" w:type="dxa"/>
          <w:left w:w="70" w:type="dxa"/>
          <w:bottom w:w="0" w:type="dxa"/>
          <w:right w:w="70" w:type="dxa"/>
        </w:tblCellMar>
        <w:tblLook w:firstRow="1" w:noVBand="1" w:lastRow="0" w:firstColumn="1" w:lastColumn="0" w:noHBand="0" w:val="04a0"/>
      </w:tblPr>
      <w:tblGrid>
        <w:gridCol w:w="9042"/>
        <w:gridCol w:w="613"/>
        <w:gridCol w:w="1917"/>
      </w:tblGrid>
      <w:tr>
        <w:trPr>
          <w:trHeight w:val="600" w:hRule="atLeast"/>
        </w:trPr>
        <w:tc>
          <w:tcPr>
            <w:tcW w:w="11572" w:type="dxa"/>
            <w:gridSpan w:val="3"/>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ESITI</w:t>
            </w:r>
          </w:p>
        </w:tc>
      </w:tr>
      <w:tr>
        <w:trPr>
          <w:trHeight w:val="465" w:hRule="atLeast"/>
        </w:trPr>
        <w:tc>
          <w:tcPr>
            <w:tcW w:w="9042" w:type="dxa"/>
            <w:vMerge w:val="restart"/>
            <w:tcBorders>
              <w:top w:val="single" w:sz="4" w:space="0" w:color="000000"/>
              <w:left w:val="single" w:sz="8" w:space="0" w:color="000000"/>
              <w:bottom w:val="single" w:sz="8"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Esito del controllo:</w:t>
            </w:r>
          </w:p>
        </w:tc>
        <w:tc>
          <w:tcPr>
            <w:tcW w:w="6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pPr>
            <w:r>
              <w:rPr>
                <w:rFonts w:eastAsia="Wingdings" w:cs="Wingdings" w:ascii="Wingdings" w:hAnsi="Wingdings"/>
                <w:color w:val="000000"/>
                <w:lang w:eastAsia="it-IT"/>
              </w:rPr>
              <w:t></w:t>
            </w:r>
          </w:p>
        </w:tc>
        <w:tc>
          <w:tcPr>
            <w:tcW w:w="1917" w:type="dxa"/>
            <w:tcBorders>
              <w:bottom w:val="single" w:sz="4" w:space="0" w:color="000000"/>
              <w:right w:val="single" w:sz="8"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POSITIVO</w:t>
            </w:r>
          </w:p>
        </w:tc>
      </w:tr>
      <w:tr>
        <w:trPr>
          <w:trHeight w:val="465" w:hRule="atLeast"/>
        </w:trPr>
        <w:tc>
          <w:tcPr>
            <w:tcW w:w="9042" w:type="dxa"/>
            <w:vMerge w:val="continue"/>
            <w:tcBorders>
              <w:top w:val="single" w:sz="4" w:space="0" w:color="000000"/>
              <w:left w:val="single" w:sz="8" w:space="0" w:color="000000"/>
              <w:bottom w:val="single" w:sz="8"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w:t>
            </w:r>
          </w:p>
        </w:tc>
        <w:tc>
          <w:tcPr>
            <w:tcW w:w="1917" w:type="dxa"/>
            <w:tcBorders>
              <w:bottom w:val="single" w:sz="4" w:space="0" w:color="000000"/>
              <w:right w:val="single" w:sz="8"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PARZIALMENTE POSITIVO</w:t>
            </w:r>
          </w:p>
        </w:tc>
      </w:tr>
      <w:tr>
        <w:trPr>
          <w:trHeight w:val="465" w:hRule="atLeast"/>
        </w:trPr>
        <w:tc>
          <w:tcPr>
            <w:tcW w:w="9042" w:type="dxa"/>
            <w:vMerge w:val="continue"/>
            <w:tcBorders>
              <w:top w:val="single" w:sz="4" w:space="0" w:color="000000"/>
              <w:left w:val="single" w:sz="8" w:space="0" w:color="000000"/>
              <w:bottom w:val="single" w:sz="8" w:space="0" w:color="000000"/>
              <w:right w:val="single" w:sz="4" w:space="0" w:color="000000"/>
            </w:tcBorders>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13" w:type="dxa"/>
            <w:tcBorders>
              <w:bottom w:val="single" w:sz="8"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w:t>
            </w:r>
          </w:p>
        </w:tc>
        <w:tc>
          <w:tcPr>
            <w:tcW w:w="19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NEGATIVO</w:t>
            </w:r>
          </w:p>
        </w:tc>
      </w:tr>
    </w:tbl>
    <w:p>
      <w:pPr>
        <w:pStyle w:val="Normal"/>
        <w:rPr/>
      </w:pPr>
      <w:r>
        <w:rPr/>
      </w:r>
    </w:p>
    <w:p>
      <w:pPr>
        <w:pStyle w:val="Normal"/>
        <w:rPr/>
      </w:pPr>
      <w:r>
        <w:rPr/>
      </w:r>
    </w:p>
    <w:p>
      <w:pPr>
        <w:pStyle w:val="Normal"/>
        <w:rPr/>
      </w:pPr>
      <w:r>
        <w:rPr/>
      </w:r>
    </w:p>
    <w:tbl>
      <w:tblPr>
        <w:tblW w:w="2900" w:type="pct"/>
        <w:jc w:val="center"/>
        <w:tblInd w:w="0" w:type="dxa"/>
        <w:tblCellMar>
          <w:top w:w="0" w:type="dxa"/>
          <w:left w:w="70" w:type="dxa"/>
          <w:bottom w:w="0" w:type="dxa"/>
          <w:right w:w="70" w:type="dxa"/>
        </w:tblCellMar>
        <w:tblLook w:firstRow="1" w:noVBand="1" w:lastRow="0" w:firstColumn="1" w:lastColumn="0" w:noHBand="0" w:val="04a0"/>
      </w:tblPr>
      <w:tblGrid>
        <w:gridCol w:w="4257"/>
        <w:gridCol w:w="4028"/>
      </w:tblGrid>
      <w:tr>
        <w:trPr>
          <w:trHeight w:val="600" w:hRule="atLeast"/>
        </w:trPr>
        <w:tc>
          <w:tcPr>
            <w:tcW w:w="4257" w:type="dxa"/>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jc w:val="center"/>
              <w:rPr/>
            </w:pPr>
            <w:r>
              <w:rPr>
                <w:rFonts w:eastAsia="Times New Roman" w:cs="Times New Roman" w:ascii="Garamond" w:hAnsi="Garamond"/>
                <w:b/>
                <w:bCs/>
                <w:lang w:eastAsia="it-IT"/>
              </w:rPr>
              <w:t xml:space="preserve">€ </w:t>
            </w:r>
            <w:r>
              <w:rPr>
                <w:rFonts w:eastAsia="Times New Roman" w:cs="Times New Roman" w:ascii="Garamond" w:hAnsi="Garamond"/>
                <w:b/>
                <w:bCs/>
                <w:color w:val="000000"/>
                <w:kern w:val="0"/>
                <w:sz w:val="22"/>
                <w:szCs w:val="22"/>
                <w:lang w:val="it-IT" w:eastAsia="it-IT" w:bidi="ar-SA"/>
              </w:rPr>
              <w:t>0,00</w:t>
            </w:r>
          </w:p>
        </w:tc>
      </w:tr>
      <w:tr>
        <w:trPr>
          <w:trHeight w:val="569" w:hRule="atLeast"/>
        </w:trPr>
        <w:tc>
          <w:tcPr>
            <w:tcW w:w="4257"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pPr>
            <w:r>
              <w:rPr>
                <w:rFonts w:eastAsia="Times New Roman" w:cs="Times New Roman" w:ascii="Garamond" w:hAnsi="Garamond"/>
                <w:bCs/>
                <w:lang w:eastAsia="it-IT"/>
              </w:rPr>
              <w:t xml:space="preserve">€ </w:t>
            </w:r>
            <w:r>
              <w:rPr>
                <w:rFonts w:eastAsia="Times New Roman" w:cs="Times New Roman" w:ascii="Garamond" w:hAnsi="Garamond"/>
                <w:bCs/>
                <w:lang w:eastAsia="it-IT"/>
              </w:rPr>
              <w:t>7.612,80</w:t>
            </w:r>
          </w:p>
        </w:tc>
      </w:tr>
      <w:tr>
        <w:trPr>
          <w:trHeight w:val="627" w:hRule="atLeast"/>
        </w:trPr>
        <w:tc>
          <w:tcPr>
            <w:tcW w:w="4257"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pPr>
            <w:r>
              <w:rPr>
                <w:rFonts w:eastAsia="Times New Roman" w:cs="Times New Roman" w:ascii="Garamond" w:hAnsi="Garamond"/>
                <w:bCs/>
                <w:lang w:eastAsia="it-IT"/>
              </w:rPr>
              <w:t xml:space="preserve">€ </w:t>
            </w:r>
            <w:r>
              <w:rPr>
                <w:rFonts w:eastAsia="Times New Roman" w:cs="Times New Roman" w:ascii="Garamond" w:hAnsi="Garamond"/>
                <w:bCs/>
                <w:lang w:eastAsia="it-IT"/>
              </w:rPr>
              <w:t>7.612,80</w:t>
            </w:r>
          </w:p>
        </w:tc>
      </w:tr>
      <w:tr>
        <w:trPr>
          <w:trHeight w:val="693" w:hRule="atLeast"/>
        </w:trPr>
        <w:tc>
          <w:tcPr>
            <w:tcW w:w="4257"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pPr>
            <w:r>
              <w:rPr>
                <w:rFonts w:eastAsia="Times New Roman" w:cs="Times New Roman" w:ascii="Garamond" w:hAnsi="Garamond"/>
                <w:bCs/>
                <w:lang w:eastAsia="it-IT"/>
              </w:rPr>
              <w:t xml:space="preserve">€ </w:t>
            </w:r>
            <w:r>
              <w:rPr>
                <w:rFonts w:eastAsia="Times New Roman" w:cs="Times New Roman" w:ascii="Garamond" w:hAnsi="Garamond"/>
                <w:bCs/>
                <w:color w:val="000000"/>
                <w:kern w:val="0"/>
                <w:sz w:val="22"/>
                <w:szCs w:val="22"/>
                <w:lang w:val="it-IT" w:eastAsia="it-IT" w:bidi="ar-SA"/>
              </w:rPr>
              <w:t>0,00</w:t>
            </w:r>
          </w:p>
        </w:tc>
      </w:tr>
    </w:tbl>
    <w:p>
      <w:pPr>
        <w:pStyle w:val="Normal"/>
        <w:rPr/>
      </w:pPr>
      <w:r>
        <w:rPr/>
      </w:r>
    </w:p>
    <w:p>
      <w:pPr>
        <w:pStyle w:val="Normal"/>
        <w:rPr/>
      </w:pPr>
      <w:r>
        <w:rPr/>
      </w:r>
    </w:p>
    <w:tbl>
      <w:tblPr>
        <w:tblW w:w="4000" w:type="pct"/>
        <w:jc w:val="center"/>
        <w:tblInd w:w="0" w:type="dxa"/>
        <w:tblCellMar>
          <w:top w:w="0" w:type="dxa"/>
          <w:left w:w="70" w:type="dxa"/>
          <w:bottom w:w="0" w:type="dxa"/>
          <w:right w:w="70" w:type="dxa"/>
        </w:tblCellMar>
        <w:tblLook w:firstRow="1" w:noVBand="1" w:lastRow="0" w:firstColumn="1" w:lastColumn="0" w:noHBand="0" w:val="04a0"/>
      </w:tblPr>
      <w:tblGrid>
        <w:gridCol w:w="11429"/>
      </w:tblGrid>
      <w:tr>
        <w:trPr>
          <w:trHeight w:val="600" w:hRule="atLeast"/>
        </w:trPr>
        <w:tc>
          <w:tcPr>
            <w:tcW w:w="11429" w:type="dxa"/>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highlight w:val="yellow"/>
                <w:lang w:eastAsia="it-IT"/>
              </w:rPr>
            </w:pPr>
            <w:r>
              <w:rPr>
                <w:rFonts w:eastAsia="Times New Roman" w:cs="Times New Roman" w:ascii="Garamond" w:hAnsi="Garamond"/>
                <w:b/>
                <w:bCs/>
                <w:lang w:eastAsia="it-IT"/>
              </w:rPr>
              <w:t>Note (Osservazioni/Raccomandazioni/Segnalazione irregolarità)</w:t>
            </w:r>
          </w:p>
        </w:tc>
      </w:tr>
      <w:tr>
        <w:trPr>
          <w:trHeight w:val="1080" w:hRule="exact"/>
        </w:trPr>
        <w:tc>
          <w:tcPr>
            <w:tcW w:w="11429"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highlight w:val="yellow"/>
                <w:lang w:eastAsia="it-IT"/>
              </w:rPr>
            </w:pPr>
            <w:r>
              <w:rPr>
                <w:rFonts w:eastAsia="Times New Roman" w:cs="Times New Roman" w:ascii="Garamond" w:hAnsi="Garamond"/>
                <w:color w:val="000000"/>
                <w:highlight w:val="yellow"/>
                <w:lang w:eastAsia="it-IT"/>
              </w:rPr>
            </w:r>
          </w:p>
        </w:tc>
      </w:tr>
    </w:tbl>
    <w:p>
      <w:pPr>
        <w:pStyle w:val="Normal"/>
        <w:rPr>
          <w:rFonts w:ascii="Garamond" w:hAnsi="Garamond"/>
        </w:rPr>
      </w:pPr>
      <w:r>
        <w:rPr>
          <w:rFonts w:ascii="Garamond" w:hAnsi="Garamond"/>
        </w:rPr>
      </w:r>
    </w:p>
    <w:tbl>
      <w:tblPr>
        <w:tblpPr w:vertAnchor="text" w:horzAnchor="page" w:leftFromText="141" w:rightFromText="141" w:tblpX="2536" w:tblpY="25"/>
        <w:tblW w:w="4000" w:type="pct"/>
        <w:jc w:val="left"/>
        <w:tblInd w:w="0" w:type="dxa"/>
        <w:tblCellMar>
          <w:top w:w="0" w:type="dxa"/>
          <w:left w:w="70" w:type="dxa"/>
          <w:bottom w:w="0" w:type="dxa"/>
          <w:right w:w="70" w:type="dxa"/>
        </w:tblCellMar>
        <w:tblLook w:firstRow="1" w:noVBand="1" w:lastRow="0" w:firstColumn="1" w:lastColumn="0" w:noHBand="0" w:val="04a0"/>
      </w:tblPr>
      <w:tblGrid>
        <w:gridCol w:w="6212"/>
        <w:gridCol w:w="5216"/>
      </w:tblGrid>
      <w:tr>
        <w:trPr>
          <w:trHeight w:val="495" w:hRule="atLeast"/>
        </w:trPr>
        <w:tc>
          <w:tcPr>
            <w:tcW w:w="62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rPr>
                <w:rFonts w:ascii="Garamond" w:hAnsi="Garamond" w:cs="Calibri"/>
                <w:b/>
                <w:b/>
                <w:bCs/>
              </w:rPr>
            </w:pPr>
            <w:r>
              <w:rPr>
                <w:rFonts w:cs="Calibri" w:ascii="Garamond" w:hAnsi="Garamond"/>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jc w:val="center"/>
              <w:rPr>
                <w:rFonts w:ascii="Calibri" w:hAnsi="Calibri" w:eastAsia="Calibri" w:cs="" w:asciiTheme="minorHAnsi" w:cstheme="minorBidi" w:eastAsiaTheme="minorHAnsi" w:hAnsiTheme="minorHAnsi"/>
              </w:rPr>
            </w:pPr>
            <w:r>
              <w:rPr>
                <w:rFonts w:eastAsia="Calibri" w:cs="Calibri" w:ascii="Garamond" w:hAnsi="Garamond" w:eastAsiaTheme="minorHAnsi"/>
                <w:color w:val="000000"/>
                <w:kern w:val="0"/>
                <w:sz w:val="22"/>
                <w:szCs w:val="22"/>
                <w:lang w:val="it-IT" w:eastAsia="en-US" w:bidi="ar-SA"/>
              </w:rPr>
              <w:t>07</w:t>
            </w:r>
            <w:r>
              <w:rPr>
                <w:rFonts w:cs="Calibri" w:ascii="Garamond" w:hAnsi="Garamond"/>
              </w:rPr>
              <w:t>/06/2023, Parma</w:t>
            </w:r>
          </w:p>
        </w:tc>
      </w:tr>
      <w:tr>
        <w:trPr>
          <w:trHeight w:val="620" w:hRule="atLeast"/>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Garamond" w:hAnsi="Garamond" w:cs="Calibri"/>
                <w:b/>
                <w:b/>
              </w:rPr>
            </w:pPr>
            <w:r>
              <w:rPr>
                <w:rFonts w:cs="Calibri" w:ascii="Garamond" w:hAnsi="Garamond"/>
                <w:b/>
              </w:rPr>
              <w:t>Incaricato del controllo: Ing. Paola Cassinelli - Firma</w:t>
            </w:r>
          </w:p>
        </w:tc>
      </w:tr>
      <w:tr>
        <w:trPr>
          <w:trHeight w:val="558" w:hRule="atLeast"/>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Garamond" w:hAnsi="Garamond" w:cs="Calibri"/>
                <w:b/>
                <w:b/>
              </w:rPr>
            </w:pPr>
            <w:r>
              <w:rPr>
                <w:rFonts w:cs="Calibri" w:ascii="Garamond" w:hAnsi="Garamond"/>
                <w:b/>
              </w:rPr>
              <w:t>Responsabile del controllo: Ing. Paola Cassinelli - Firma</w:t>
            </w:r>
          </w:p>
        </w:tc>
      </w:tr>
    </w:tbl>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rPr/>
      </w:pPr>
      <w:r>
        <w:rPr/>
      </w:r>
    </w:p>
    <w:p>
      <w:pPr>
        <w:pStyle w:val="Normal"/>
        <w:spacing w:before="0" w:after="160"/>
        <w:rPr>
          <w:rFonts w:ascii="Garamond" w:hAnsi="Garamond"/>
        </w:rPr>
      </w:pPr>
      <w:r>
        <w:rPr/>
      </w:r>
    </w:p>
    <w:sectPr>
      <w:headerReference w:type="default" r:id="rId2"/>
      <w:footerReference w:type="default" r:id="rId3"/>
      <w:type w:val="nextPage"/>
      <w:pgSz w:orient="landscape" w:w="16838" w:h="11906"/>
      <w:pgMar w:left="1134" w:right="1417" w:header="708" w:top="1134"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ahoma">
    <w:charset w:val="00"/>
    <w:family w:val="roman"/>
    <w:pitch w:val="variable"/>
  </w:font>
  <w:font w:name="Liberation Sans">
    <w:altName w:val="Arial"/>
    <w:charset w:val="00"/>
    <w:family w:val="roman"/>
    <w:pitch w:val="variable"/>
  </w:font>
  <w:font w:name="Garamond">
    <w:charset w:val="00"/>
    <w:family w:val="roman"/>
    <w:pitch w:val="variable"/>
  </w:font>
  <w:font w:name="Symbol">
    <w:charset w:val="00"/>
    <w:family w:val="roman"/>
    <w:pitch w:val="variable"/>
  </w:font>
  <w:font w:name="Wingdings">
    <w:charset w:val="00"/>
    <w:family w:val="roman"/>
    <w:pitch w:val="variable"/>
  </w:font>
  <w:font w:name="Garamond">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rFonts w:ascii="Garamond" w:hAnsi="Garamond"/>
        <w:sz w:val="20"/>
        <w:szCs w:val="20"/>
      </w:rPr>
    </w:pPr>
    <w:r>
      <w:rPr>
        <w:rFonts w:ascii="Garamond" w:hAnsi="Garamond"/>
        <w:sz w:val="20"/>
        <w:szCs w:val="20"/>
      </w:rPr>
      <w:fldChar w:fldCharType="begin"/>
    </w:r>
    <w:r>
      <w:rPr>
        <w:sz w:val="20"/>
        <w:szCs w:val="20"/>
        <w:rFonts w:ascii="Garamond" w:hAnsi="Garamond"/>
      </w:rPr>
      <w:instrText> PAGE </w:instrText>
    </w:r>
    <w:r>
      <w:rPr>
        <w:sz w:val="20"/>
        <w:szCs w:val="20"/>
        <w:rFonts w:ascii="Garamond" w:hAnsi="Garamond"/>
      </w:rPr>
      <w:fldChar w:fldCharType="separate"/>
    </w:r>
    <w:r>
      <w:rPr>
        <w:sz w:val="20"/>
        <w:szCs w:val="20"/>
        <w:rFonts w:ascii="Garamond" w:hAnsi="Garamond"/>
      </w:rPr>
      <w:t>5</w:t>
    </w:r>
    <w:r>
      <w:rPr>
        <w:sz w:val="20"/>
        <w:szCs w:val="20"/>
        <w:rFonts w:ascii="Garamond" w:hAnsi="Garamond"/>
      </w:rP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pPr>
    <w:r>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pPr>
      <w:pStyle w:val="Intestazione"/>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left"/>
      <w:pPr>
        <w:ind w:left="720" w:hanging="360"/>
      </w:pPr>
      <w:rPr>
        <w:rFonts w:ascii="Garamond" w:hAnsi="Garamond" w:cs="Garamond"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165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b082a"/>
    <w:rPr/>
  </w:style>
  <w:style w:type="character" w:styleId="FooterChar" w:customStyle="1">
    <w:name w:val="Footer Char"/>
    <w:basedOn w:val="DefaultParagraphFont"/>
    <w:link w:val="Footer"/>
    <w:uiPriority w:val="99"/>
    <w:qFormat/>
    <w:rsid w:val="00bb082a"/>
    <w:rPr/>
  </w:style>
  <w:style w:type="character" w:styleId="BalloonTextChar" w:customStyle="1">
    <w:name w:val="Balloon Text Char"/>
    <w:basedOn w:val="DefaultParagraphFont"/>
    <w:link w:val="BalloonText"/>
    <w:uiPriority w:val="99"/>
    <w:semiHidden/>
    <w:qFormat/>
    <w:rsid w:val="00bb082a"/>
    <w:rPr>
      <w:rFonts w:ascii="Segoe UI" w:hAnsi="Segoe UI" w:cs="Segoe UI"/>
      <w:sz w:val="18"/>
      <w:szCs w:val="18"/>
    </w:rPr>
  </w:style>
  <w:style w:type="character" w:styleId="ListParagraphChar" w:customStyle="1">
    <w:name w:val="List Paragraph Char"/>
    <w:link w:val="ListParagraph"/>
    <w:uiPriority w:val="34"/>
    <w:qFormat/>
    <w:locked/>
    <w:rsid w:val="00257a47"/>
    <w:rPr/>
  </w:style>
  <w:style w:type="character" w:styleId="Annotationreference">
    <w:name w:val="annotation reference"/>
    <w:basedOn w:val="DefaultParagraphFont"/>
    <w:uiPriority w:val="99"/>
    <w:semiHidden/>
    <w:unhideWhenUsed/>
    <w:qFormat/>
    <w:rsid w:val="00154096"/>
    <w:rPr>
      <w:sz w:val="16"/>
      <w:szCs w:val="16"/>
    </w:rPr>
  </w:style>
  <w:style w:type="character" w:styleId="CommentTextChar" w:customStyle="1">
    <w:name w:val="Comment Text Char"/>
    <w:basedOn w:val="DefaultParagraphFont"/>
    <w:link w:val="CommentText"/>
    <w:uiPriority w:val="99"/>
    <w:semiHidden/>
    <w:qFormat/>
    <w:rsid w:val="00154096"/>
    <w:rPr>
      <w:sz w:val="20"/>
      <w:szCs w:val="20"/>
    </w:rPr>
  </w:style>
  <w:style w:type="character" w:styleId="CommentSubjectChar" w:customStyle="1">
    <w:name w:val="Comment Subject Char"/>
    <w:basedOn w:val="CommentTextChar"/>
    <w:link w:val="CommentSubject"/>
    <w:uiPriority w:val="99"/>
    <w:semiHidden/>
    <w:qFormat/>
    <w:rsid w:val="00154096"/>
    <w:rPr>
      <w:b/>
      <w:bCs/>
      <w:sz w:val="20"/>
      <w:szCs w:val="20"/>
    </w:rPr>
  </w:style>
  <w:style w:type="character" w:styleId="BodyText2Char" w:customStyle="1">
    <w:name w:val="Body Text 2 Char"/>
    <w:basedOn w:val="DefaultParagraphFont"/>
    <w:link w:val="BodyText2"/>
    <w:uiPriority w:val="99"/>
    <w:qFormat/>
    <w:rsid w:val="00371a70"/>
    <w:rPr>
      <w:rFonts w:ascii="Tahoma" w:hAnsi="Tahoma" w:eastAsia="Times New Roman" w:cs="Tahoma"/>
      <w:sz w:val="20"/>
      <w:szCs w:val="24"/>
      <w:lang w:eastAsia="it-IT"/>
    </w:rPr>
  </w:style>
  <w:style w:type="character" w:styleId="FootnoteTextChar" w:customStyle="1">
    <w:name w:val="Footnote Text Char"/>
    <w:basedOn w:val="DefaultParagraphFont"/>
    <w:link w:val="FootnoteText"/>
    <w:uiPriority w:val="99"/>
    <w:semiHidden/>
    <w:qFormat/>
    <w:rsid w:val="002a5b0d"/>
    <w:rPr>
      <w:sz w:val="20"/>
      <w:szCs w:val="20"/>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2a5b0d"/>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Intestazione">
    <w:name w:val="Header"/>
    <w:basedOn w:val="Normal"/>
    <w:link w:val="HeaderChar"/>
    <w:uiPriority w:val="99"/>
    <w:unhideWhenUsed/>
    <w:rsid w:val="00bb082a"/>
    <w:pPr>
      <w:tabs>
        <w:tab w:val="clear" w:pos="708"/>
        <w:tab w:val="center" w:pos="4819" w:leader="none"/>
        <w:tab w:val="right" w:pos="9638" w:leader="none"/>
      </w:tabs>
      <w:spacing w:lineRule="auto" w:line="240" w:before="0" w:after="0"/>
    </w:pPr>
    <w:rPr/>
  </w:style>
  <w:style w:type="paragraph" w:styleId="Pidipagina">
    <w:name w:val="Footer"/>
    <w:basedOn w:val="Normal"/>
    <w:link w:val="FooterChar"/>
    <w:uiPriority w:val="99"/>
    <w:unhideWhenUsed/>
    <w:rsid w:val="00bb082a"/>
    <w:pPr>
      <w:tabs>
        <w:tab w:val="clear" w:pos="708"/>
        <w:tab w:val="center" w:pos="4819" w:leader="none"/>
        <w:tab w:val="right" w:pos="9638" w:leader="none"/>
      </w:tabs>
      <w:spacing w:lineRule="auto" w:line="240" w:before="0" w:after="0"/>
    </w:pPr>
    <w:rPr/>
  </w:style>
  <w:style w:type="paragraph" w:styleId="BalloonText">
    <w:name w:val="Balloon Text"/>
    <w:basedOn w:val="Normal"/>
    <w:link w:val="BalloonTextChar"/>
    <w:uiPriority w:val="99"/>
    <w:semiHidden/>
    <w:unhideWhenUsed/>
    <w:qFormat/>
    <w:rsid w:val="00bb082a"/>
    <w:pPr>
      <w:spacing w:lineRule="auto" w:line="240" w:before="0" w:after="0"/>
    </w:pPr>
    <w:rPr>
      <w:rFonts w:ascii="Segoe UI" w:hAnsi="Segoe UI" w:cs="Segoe UI"/>
      <w:sz w:val="18"/>
      <w:szCs w:val="18"/>
    </w:rPr>
  </w:style>
  <w:style w:type="paragraph" w:styleId="ListParagraph">
    <w:name w:val="List Paragraph"/>
    <w:basedOn w:val="Normal"/>
    <w:link w:val="ListParagraphChar"/>
    <w:uiPriority w:val="34"/>
    <w:qFormat/>
    <w:rsid w:val="007e407a"/>
    <w:pPr>
      <w:spacing w:before="0" w:after="160"/>
      <w:ind w:left="720" w:hanging="0"/>
      <w:contextualSpacing/>
    </w:pPr>
    <w:rPr/>
  </w:style>
  <w:style w:type="paragraph" w:styleId="Annotationtext">
    <w:name w:val="annotation text"/>
    <w:basedOn w:val="Normal"/>
    <w:link w:val="CommentTextChar"/>
    <w:uiPriority w:val="99"/>
    <w:semiHidden/>
    <w:unhideWhenUsed/>
    <w:qFormat/>
    <w:rsid w:val="00154096"/>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154096"/>
    <w:pPr/>
    <w:rPr>
      <w:b/>
      <w:bCs/>
    </w:rPr>
  </w:style>
  <w:style w:type="paragraph" w:styleId="Revision">
    <w:name w:val="Revision"/>
    <w:uiPriority w:val="99"/>
    <w:semiHidden/>
    <w:qFormat/>
    <w:rsid w:val="00dc29c7"/>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BodyText2">
    <w:name w:val="Body Text 2"/>
    <w:basedOn w:val="Normal"/>
    <w:link w:val="BodyText2Char"/>
    <w:uiPriority w:val="99"/>
    <w:qFormat/>
    <w:rsid w:val="00371a70"/>
    <w:pPr>
      <w:spacing w:lineRule="auto" w:line="240" w:before="0" w:after="0"/>
    </w:pPr>
    <w:rPr>
      <w:rFonts w:ascii="Tahoma" w:hAnsi="Tahoma" w:eastAsia="Times New Roman" w:cs="Tahoma"/>
      <w:sz w:val="20"/>
      <w:szCs w:val="24"/>
      <w:lang w:eastAsia="it-IT"/>
    </w:rPr>
  </w:style>
  <w:style w:type="paragraph" w:styleId="Notaapidipagina">
    <w:name w:val="Footnote Text"/>
    <w:basedOn w:val="Normal"/>
    <w:link w:val="FootnoteTextChar"/>
    <w:uiPriority w:val="99"/>
    <w:semiHidden/>
    <w:unhideWhenUsed/>
    <w:rsid w:val="002a5b0d"/>
    <w:pPr>
      <w:spacing w:lineRule="auto" w:line="240" w:before="0" w:after="0"/>
    </w:pPr>
    <w:rPr>
      <w:sz w:val="20"/>
      <w:szCs w:val="20"/>
    </w:rPr>
  </w:style>
  <w:style w:type="paragraph" w:styleId="Contenutocornice">
    <w:name w:val="Contenuto cornice"/>
    <w:basedOn w:val="Normal"/>
    <w:qFormat/>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0a29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6254EF7E-CB4D-4CBF-9EBC-86ADD2434A65}">
  <ds:schemaRefs>
    <ds:schemaRef ds:uri="http://schemas.openxmlformats.org/officeDocument/2006/bibliography"/>
  </ds:schemaRefs>
</ds:datastoreItem>
</file>

<file path=customXml/itemProps4.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Application>LibreOffice/6.4.4.2$Windows_X86_64 LibreOffice_project/3d775be2011f3886db32dfd395a6a6d1ca2630ff</Application>
  <Pages>24</Pages>
  <Words>4534</Words>
  <Characters>26955</Characters>
  <CharactersWithSpaces>30956</CharactersWithSpaces>
  <Paragraphs>653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2023-05-11T09:17:00Z</dcterms:created>
  <dc:creator>Author</dc:creator>
  <dc:description/>
  <dc:language>it-IT</dc:language>
  <cp:lastModifiedBy/>
  <dcterms:modified xsi:type="dcterms:W3CDTF">2023-06-07T13:24:06Z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