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264"/>
        <w:gridCol w:w="3244"/>
        <w:gridCol w:w="816"/>
        <w:gridCol w:w="2409"/>
        <w:gridCol w:w="3558"/>
        <w:gridCol w:w="421"/>
        <w:gridCol w:w="2721"/>
        <w:gridCol w:w="148"/>
        <w:gridCol w:w="74"/>
        <w:gridCol w:w="24"/>
        <w:gridCol w:w="195"/>
        <w:gridCol w:w="74"/>
        <w:gridCol w:w="193"/>
        <w:gridCol w:w="146"/>
      </w:tblGrid>
      <w:tr w:rsidR="008B290D">
        <w:trPr>
          <w:trHeight w:val="313"/>
        </w:trPr>
        <w:tc>
          <w:tcPr>
            <w:tcW w:w="264" w:type="dxa"/>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30" w:type="dxa"/>
            <w:gridSpan w:val="7"/>
            <w:vMerge w:val="restart"/>
            <w:shd w:val="clear" w:color="000000" w:fill="1F497D"/>
            <w:vAlign w:val="center"/>
          </w:tcPr>
          <w:p w:rsidR="008B290D" w:rsidRDefault="003232A3">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CHECKLIST PER LA</w:t>
            </w:r>
          </w:p>
          <w:p w:rsidR="008B290D" w:rsidRDefault="003232A3">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 VERIFICA DELLE REGOLARITÀ AMMINISTRATIVO-CONTABILE DELLE </w:t>
            </w:r>
          </w:p>
          <w:p w:rsidR="008B290D" w:rsidRDefault="003232A3">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PROCEDURE DI APPALTO AI SENSI DEL D. </w:t>
            </w:r>
            <w:proofErr w:type="spellStart"/>
            <w:r>
              <w:rPr>
                <w:rFonts w:ascii="Garamond" w:eastAsia="Times New Roman" w:hAnsi="Garamond" w:cstheme="minorHAnsi"/>
                <w:b/>
                <w:bCs/>
                <w:color w:val="FFFFFF"/>
                <w:lang w:eastAsia="it-IT"/>
              </w:rPr>
              <w:t>lgs</w:t>
            </w:r>
            <w:proofErr w:type="spellEnd"/>
            <w:r>
              <w:rPr>
                <w:rFonts w:ascii="Garamond" w:eastAsia="Times New Roman" w:hAnsi="Garamond" w:cstheme="minorHAnsi"/>
                <w:b/>
                <w:bCs/>
                <w:color w:val="FFFFFF"/>
                <w:lang w:eastAsia="it-IT"/>
              </w:rPr>
              <w:t xml:space="preserve">. n. 50/2016 e </w:t>
            </w:r>
            <w:proofErr w:type="spellStart"/>
            <w:r>
              <w:rPr>
                <w:rFonts w:ascii="Garamond" w:eastAsia="Times New Roman" w:hAnsi="Garamond" w:cstheme="minorHAnsi"/>
                <w:b/>
                <w:bCs/>
                <w:color w:val="FFFFFF"/>
                <w:lang w:eastAsia="it-IT"/>
              </w:rPr>
              <w:t>ss.mm.ii</w:t>
            </w:r>
            <w:proofErr w:type="spellEnd"/>
            <w:r>
              <w:rPr>
                <w:rFonts w:ascii="Garamond" w:eastAsia="Times New Roman" w:hAnsi="Garamond" w:cstheme="minorHAnsi"/>
                <w:b/>
                <w:bCs/>
                <w:color w:val="FFFFFF"/>
                <w:lang w:eastAsia="it-IT"/>
              </w:rPr>
              <w:t>.</w:t>
            </w:r>
          </w:p>
        </w:tc>
        <w:tc>
          <w:tcPr>
            <w:tcW w:w="267" w:type="dxa"/>
            <w:gridSpan w:val="3"/>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8B290D" w:rsidRDefault="008B290D"/>
        </w:tc>
      </w:tr>
      <w:tr w:rsidR="008B290D">
        <w:trPr>
          <w:trHeight w:val="284"/>
        </w:trPr>
        <w:tc>
          <w:tcPr>
            <w:tcW w:w="264" w:type="dxa"/>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30" w:type="dxa"/>
            <w:gridSpan w:val="7"/>
            <w:vMerge/>
            <w:vAlign w:val="center"/>
          </w:tcPr>
          <w:p w:rsidR="008B290D" w:rsidRDefault="008B290D">
            <w:pPr>
              <w:spacing w:after="0" w:line="240" w:lineRule="auto"/>
              <w:rPr>
                <w:rFonts w:ascii="Garamond" w:eastAsia="Times New Roman" w:hAnsi="Garamond" w:cstheme="minorHAnsi"/>
                <w:color w:val="FFFFFF"/>
                <w:lang w:eastAsia="it-IT"/>
              </w:rPr>
            </w:pPr>
          </w:p>
        </w:tc>
        <w:tc>
          <w:tcPr>
            <w:tcW w:w="267" w:type="dxa"/>
            <w:gridSpan w:val="3"/>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8B290D" w:rsidRDefault="008B290D"/>
        </w:tc>
      </w:tr>
      <w:tr w:rsidR="008B290D">
        <w:trPr>
          <w:trHeight w:val="256"/>
        </w:trPr>
        <w:tc>
          <w:tcPr>
            <w:tcW w:w="264" w:type="dxa"/>
            <w:shd w:val="clear" w:color="000000" w:fill="FFFFFF"/>
            <w:vAlign w:val="center"/>
          </w:tcPr>
          <w:p w:rsidR="008B290D" w:rsidRDefault="003232A3">
            <w:pPr>
              <w:spacing w:after="0" w:line="240" w:lineRule="auto"/>
              <w:rPr>
                <w:rFonts w:ascii="Garamond" w:eastAsia="Times New Roman" w:hAnsi="Garamond" w:cstheme="minorHAnsi"/>
                <w:b/>
                <w:bCs/>
                <w:color w:val="000000"/>
                <w:lang w:eastAsia="it-IT"/>
              </w:rPr>
            </w:pPr>
            <w:r>
              <w:rPr>
                <w:rFonts w:ascii="Garamond" w:eastAsia="Times New Roman" w:hAnsi="Garamond" w:cstheme="minorHAnsi"/>
                <w:b/>
                <w:bCs/>
                <w:color w:val="000000"/>
                <w:lang w:eastAsia="it-IT"/>
              </w:rPr>
              <w:t> </w:t>
            </w:r>
          </w:p>
        </w:tc>
        <w:tc>
          <w:tcPr>
            <w:tcW w:w="13430" w:type="dxa"/>
            <w:gridSpan w:val="7"/>
            <w:vMerge/>
            <w:vAlign w:val="center"/>
          </w:tcPr>
          <w:p w:rsidR="008B290D" w:rsidRDefault="008B290D">
            <w:pPr>
              <w:spacing w:after="0" w:line="240" w:lineRule="auto"/>
              <w:rPr>
                <w:rFonts w:ascii="Garamond" w:eastAsia="Times New Roman" w:hAnsi="Garamond" w:cstheme="minorHAnsi"/>
                <w:color w:val="FFFFFF"/>
                <w:lang w:eastAsia="it-IT"/>
              </w:rPr>
            </w:pPr>
          </w:p>
        </w:tc>
        <w:tc>
          <w:tcPr>
            <w:tcW w:w="267" w:type="dxa"/>
            <w:gridSpan w:val="3"/>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8B290D" w:rsidRDefault="008B290D"/>
        </w:tc>
      </w:tr>
      <w:tr w:rsidR="008B290D">
        <w:trPr>
          <w:trHeight w:val="273"/>
        </w:trPr>
        <w:tc>
          <w:tcPr>
            <w:tcW w:w="264" w:type="dxa"/>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30" w:type="dxa"/>
            <w:gridSpan w:val="7"/>
            <w:vMerge/>
            <w:vAlign w:val="center"/>
          </w:tcPr>
          <w:p w:rsidR="008B290D" w:rsidRDefault="008B290D">
            <w:pPr>
              <w:spacing w:after="0" w:line="240" w:lineRule="auto"/>
              <w:rPr>
                <w:rFonts w:ascii="Garamond" w:eastAsia="Times New Roman" w:hAnsi="Garamond" w:cstheme="minorHAnsi"/>
                <w:color w:val="FFFFFF"/>
                <w:lang w:eastAsia="it-IT"/>
              </w:rPr>
            </w:pPr>
          </w:p>
        </w:tc>
        <w:tc>
          <w:tcPr>
            <w:tcW w:w="267" w:type="dxa"/>
            <w:gridSpan w:val="3"/>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8B290D" w:rsidRDefault="008B290D"/>
        </w:tc>
      </w:tr>
      <w:tr w:rsidR="008B290D">
        <w:trPr>
          <w:trHeight w:val="273"/>
        </w:trPr>
        <w:tc>
          <w:tcPr>
            <w:tcW w:w="264" w:type="dxa"/>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30" w:type="dxa"/>
            <w:gridSpan w:val="7"/>
            <w:vMerge/>
            <w:vAlign w:val="center"/>
          </w:tcPr>
          <w:p w:rsidR="008B290D" w:rsidRDefault="008B290D">
            <w:pPr>
              <w:spacing w:after="0" w:line="240" w:lineRule="auto"/>
              <w:rPr>
                <w:rFonts w:ascii="Garamond" w:eastAsia="Times New Roman" w:hAnsi="Garamond" w:cstheme="minorHAnsi"/>
                <w:color w:val="FFFFFF"/>
                <w:lang w:eastAsia="it-IT"/>
              </w:rPr>
            </w:pPr>
          </w:p>
        </w:tc>
        <w:tc>
          <w:tcPr>
            <w:tcW w:w="267" w:type="dxa"/>
            <w:gridSpan w:val="3"/>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8B290D" w:rsidRDefault="008B290D"/>
        </w:tc>
      </w:tr>
      <w:tr w:rsidR="008B290D">
        <w:trPr>
          <w:trHeight w:val="273"/>
        </w:trPr>
        <w:tc>
          <w:tcPr>
            <w:tcW w:w="264" w:type="dxa"/>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080" w:type="dxa"/>
            <w:gridSpan w:val="2"/>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433" w:type="dxa"/>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596" w:type="dxa"/>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23" w:type="dxa"/>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750" w:type="dxa"/>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22" w:type="dxa"/>
            <w:gridSpan w:val="2"/>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3"/>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50" w:type="dxa"/>
            <w:gridSpan w:val="2"/>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8B290D">
        <w:trPr>
          <w:trHeight w:val="535"/>
        </w:trPr>
        <w:tc>
          <w:tcPr>
            <w:tcW w:w="264" w:type="dxa"/>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4080" w:type="dxa"/>
            <w:gridSpan w:val="2"/>
            <w:tcBorders>
              <w:bottom w:val="single" w:sz="2" w:space="0" w:color="000000"/>
            </w:tcBorders>
            <w:shd w:val="clear" w:color="auto" w:fill="auto"/>
            <w:vAlign w:val="center"/>
          </w:tcPr>
          <w:p w:rsidR="008B290D" w:rsidRDefault="008B290D">
            <w:pPr>
              <w:spacing w:after="0" w:line="240" w:lineRule="auto"/>
              <w:rPr>
                <w:rFonts w:ascii="Garamond" w:eastAsia="Times New Roman" w:hAnsi="Garamond" w:cstheme="minorHAnsi"/>
                <w:color w:val="000000"/>
                <w:lang w:eastAsia="it-IT"/>
              </w:rPr>
            </w:pPr>
          </w:p>
        </w:tc>
        <w:tc>
          <w:tcPr>
            <w:tcW w:w="2433" w:type="dxa"/>
            <w:tcBorders>
              <w:bottom w:val="single" w:sz="2" w:space="0" w:color="000000"/>
            </w:tcBorders>
            <w:shd w:val="clear" w:color="auto" w:fill="auto"/>
            <w:vAlign w:val="center"/>
          </w:tcPr>
          <w:p w:rsidR="008B290D" w:rsidRDefault="008B290D">
            <w:pPr>
              <w:spacing w:after="0" w:line="240" w:lineRule="auto"/>
              <w:rPr>
                <w:rFonts w:ascii="Garamond" w:eastAsia="Times New Roman" w:hAnsi="Garamond" w:cstheme="minorHAnsi"/>
                <w:lang w:eastAsia="it-IT"/>
              </w:rPr>
            </w:pPr>
          </w:p>
        </w:tc>
        <w:tc>
          <w:tcPr>
            <w:tcW w:w="3596" w:type="dxa"/>
            <w:tcBorders>
              <w:bottom w:val="single" w:sz="2" w:space="0" w:color="000000"/>
            </w:tcBorders>
            <w:shd w:val="clear" w:color="auto" w:fill="auto"/>
            <w:vAlign w:val="center"/>
          </w:tcPr>
          <w:p w:rsidR="008B290D" w:rsidRDefault="008B290D">
            <w:pPr>
              <w:spacing w:after="0" w:line="240" w:lineRule="auto"/>
              <w:jc w:val="right"/>
              <w:rPr>
                <w:rFonts w:ascii="Garamond" w:eastAsia="Times New Roman" w:hAnsi="Garamond" w:cstheme="minorHAnsi"/>
                <w:lang w:eastAsia="it-IT"/>
              </w:rPr>
            </w:pPr>
          </w:p>
        </w:tc>
        <w:tc>
          <w:tcPr>
            <w:tcW w:w="423" w:type="dxa"/>
            <w:tcBorders>
              <w:bottom w:val="single" w:sz="2" w:space="0" w:color="000000"/>
            </w:tcBorders>
            <w:shd w:val="clear" w:color="auto" w:fill="auto"/>
            <w:vAlign w:val="center"/>
          </w:tcPr>
          <w:p w:rsidR="008B290D" w:rsidRDefault="008B290D">
            <w:pPr>
              <w:spacing w:after="0" w:line="240" w:lineRule="auto"/>
              <w:jc w:val="right"/>
              <w:rPr>
                <w:rFonts w:ascii="Garamond" w:eastAsia="Times New Roman" w:hAnsi="Garamond" w:cstheme="minorHAnsi"/>
                <w:lang w:eastAsia="it-IT"/>
              </w:rPr>
            </w:pPr>
          </w:p>
        </w:tc>
        <w:tc>
          <w:tcPr>
            <w:tcW w:w="2750" w:type="dxa"/>
            <w:tcBorders>
              <w:bottom w:val="single" w:sz="2" w:space="0" w:color="000000"/>
            </w:tcBorders>
            <w:shd w:val="clear" w:color="auto" w:fill="auto"/>
            <w:vAlign w:val="center"/>
          </w:tcPr>
          <w:p w:rsidR="008B290D" w:rsidRDefault="008B290D">
            <w:pPr>
              <w:spacing w:after="0" w:line="240" w:lineRule="auto"/>
              <w:jc w:val="right"/>
              <w:rPr>
                <w:rFonts w:ascii="Garamond" w:eastAsia="Times New Roman" w:hAnsi="Garamond" w:cstheme="minorHAnsi"/>
                <w:lang w:eastAsia="it-IT"/>
              </w:rPr>
            </w:pPr>
          </w:p>
        </w:tc>
        <w:tc>
          <w:tcPr>
            <w:tcW w:w="222" w:type="dxa"/>
            <w:gridSpan w:val="2"/>
            <w:tcBorders>
              <w:bottom w:val="single" w:sz="2" w:space="0" w:color="000000"/>
            </w:tcBorders>
            <w:shd w:val="clear" w:color="auto" w:fill="auto"/>
            <w:vAlign w:val="center"/>
          </w:tcPr>
          <w:p w:rsidR="008B290D" w:rsidRDefault="008B290D">
            <w:pPr>
              <w:spacing w:after="0" w:line="240" w:lineRule="auto"/>
              <w:jc w:val="center"/>
              <w:rPr>
                <w:rFonts w:ascii="Garamond" w:eastAsia="Times New Roman" w:hAnsi="Garamond" w:cstheme="minorHAnsi"/>
                <w:lang w:eastAsia="it-IT"/>
              </w:rPr>
            </w:pPr>
          </w:p>
        </w:tc>
        <w:tc>
          <w:tcPr>
            <w:tcW w:w="267" w:type="dxa"/>
            <w:gridSpan w:val="3"/>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50" w:type="dxa"/>
            <w:gridSpan w:val="2"/>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8B290D">
        <w:trPr>
          <w:trHeight w:val="535"/>
        </w:trPr>
        <w:tc>
          <w:tcPr>
            <w:tcW w:w="264" w:type="dxa"/>
            <w:tcBorders>
              <w:right w:val="single" w:sz="2" w:space="0" w:color="000000"/>
            </w:tcBorders>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528" w:type="dxa"/>
            <w:gridSpan w:val="9"/>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Anagrafica Intervento</w:t>
            </w:r>
          </w:p>
        </w:tc>
        <w:tc>
          <w:tcPr>
            <w:tcW w:w="169" w:type="dxa"/>
            <w:tcBorders>
              <w:left w:val="single" w:sz="2" w:space="0" w:color="000000"/>
            </w:tcBorders>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Missione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Componente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Misura/sub-misura</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256"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Riforma o investimento/ sub-investimento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3.3: Piano di messa in sicurezza e riqualificazione dell’edilizia scolastica</w:t>
            </w:r>
          </w:p>
        </w:tc>
        <w:tc>
          <w:tcPr>
            <w:tcW w:w="169" w:type="dxa"/>
            <w:tcBorders>
              <w:left w:val="single" w:sz="2" w:space="0" w:color="000000"/>
            </w:tcBorders>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8B290D" w:rsidRDefault="003232A3">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Pr="003232A3" w:rsidRDefault="003232A3">
            <w:pPr>
              <w:spacing w:after="0" w:line="240" w:lineRule="auto"/>
              <w:rPr>
                <w:rFonts w:ascii="Garamond" w:eastAsia="Times New Roman" w:hAnsi="Garamond" w:cstheme="minorHAnsi"/>
                <w:lang w:eastAsia="it-IT"/>
              </w:rPr>
            </w:pPr>
            <w:r w:rsidRPr="003232A3">
              <w:rPr>
                <w:rFonts w:ascii="Times New Roman" w:hAnsi="Times New Roman" w:cs="Times New Roman"/>
                <w:bCs/>
                <w:sz w:val="20"/>
                <w:szCs w:val="20"/>
              </w:rPr>
              <w:t>D98H23000040006</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pPr>
              <w:spacing w:after="0" w:line="240" w:lineRule="auto"/>
              <w:rPr>
                <w:rFonts w:ascii="Garamond" w:eastAsia="Times New Roman" w:hAnsi="Garamond" w:cstheme="minorHAnsi"/>
                <w:lang w:eastAsia="it-IT"/>
              </w:rPr>
            </w:pPr>
            <w:r w:rsidRPr="003232A3">
              <w:rPr>
                <w:rFonts w:ascii="Garamond" w:eastAsia="Times New Roman" w:hAnsi="Garamond" w:cstheme="minorHAnsi"/>
                <w:lang w:eastAsia="it-IT"/>
              </w:rPr>
              <w:t>MESSA IN SICUREZZA ISTITUTO BODONI DI PARMA</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Attuatore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rsidP="003232A3">
            <w:pPr>
              <w:spacing w:after="0" w:line="240" w:lineRule="auto"/>
            </w:pPr>
            <w:r>
              <w:rPr>
                <w:rFonts w:ascii="Times New Roman" w:eastAsia="Times New Roman" w:hAnsi="Times New Roman" w:cs="Times New Roman"/>
                <w:szCs w:val="20"/>
              </w:rPr>
              <w:t>R.T.I. ZUELLI IMPIANTI S.R.L. (mandataria) - EDILTOR S.R.L. (mandante)</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totale intervento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pPr>
              <w:spacing w:after="0" w:line="240" w:lineRule="auto"/>
              <w:rPr>
                <w:rFonts w:ascii="Garamond" w:eastAsia="Times New Roman" w:hAnsi="Garamond" w:cstheme="minorHAnsi"/>
                <w:lang w:eastAsia="it-IT"/>
              </w:rPr>
            </w:pPr>
            <w:r>
              <w:rPr>
                <w:rFonts w:ascii="Times New Roman" w:eastAsia="Times New Roman" w:hAnsi="Times New Roman" w:cs="Times New Roman"/>
                <w:szCs w:val="20"/>
              </w:rPr>
              <w:t>€ 730.016,00</w:t>
            </w:r>
            <w:r>
              <w:rPr>
                <w:rFonts w:ascii="Garamond" w:eastAsia="Times New Roman" w:hAnsi="Garamond" w:cstheme="minorHAnsi"/>
                <w:lang w:eastAsia="it-IT"/>
              </w:rPr>
              <w:t xml:space="preserve"> di cui IVA € </w:t>
            </w:r>
            <w:r w:rsidR="00667161" w:rsidRPr="00667161">
              <w:rPr>
                <w:rFonts w:ascii="Garamond" w:eastAsia="Times New Roman" w:hAnsi="Garamond" w:cstheme="minorHAnsi"/>
                <w:lang w:eastAsia="it-IT"/>
              </w:rPr>
              <w:t>53.928,97</w:t>
            </w:r>
            <w:r w:rsidR="00667161">
              <w:rPr>
                <w:rFonts w:ascii="Garamond" w:eastAsia="Times New Roman" w:hAnsi="Garamond" w:cstheme="minorHAnsi"/>
                <w:lang w:eastAsia="it-IT"/>
              </w:rPr>
              <w:t xml:space="preserve"> (escluso iva spese tecniche)</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di cui costo ammesso PNRR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pPr>
              <w:spacing w:after="0" w:line="240" w:lineRule="auto"/>
              <w:rPr>
                <w:rFonts w:ascii="Garamond" w:eastAsia="Times New Roman" w:hAnsi="Garamond" w:cstheme="minorHAnsi"/>
                <w:lang w:eastAsia="it-IT"/>
              </w:rPr>
            </w:pPr>
            <w:r>
              <w:rPr>
                <w:rFonts w:ascii="Times New Roman" w:eastAsia="Times New Roman" w:hAnsi="Times New Roman" w:cs="Times New Roman"/>
                <w:szCs w:val="20"/>
              </w:rPr>
              <w:t>€ 730.016,00</w:t>
            </w:r>
            <w:r>
              <w:rPr>
                <w:rFonts w:ascii="Garamond" w:eastAsia="Times New Roman" w:hAnsi="Garamond" w:cstheme="minorHAnsi"/>
                <w:lang w:eastAsia="it-IT"/>
              </w:rPr>
              <w:t xml:space="preserve"> di cui IVA € </w:t>
            </w:r>
            <w:r w:rsidR="00667161" w:rsidRPr="00667161">
              <w:rPr>
                <w:rFonts w:ascii="Garamond" w:eastAsia="Times New Roman" w:hAnsi="Garamond" w:cstheme="minorHAnsi"/>
                <w:lang w:eastAsia="it-IT"/>
              </w:rPr>
              <w:t>53.928,97</w:t>
            </w:r>
            <w:r w:rsidR="00667161">
              <w:rPr>
                <w:rFonts w:ascii="Garamond" w:eastAsia="Times New Roman" w:hAnsi="Garamond" w:cstheme="minorHAnsi"/>
                <w:lang w:eastAsia="it-IT"/>
              </w:rPr>
              <w:t xml:space="preserve"> (escluso iva spese tecniche)</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Tipologia affidamento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Lavori</w:t>
            </w:r>
          </w:p>
          <w:p w:rsidR="008B290D" w:rsidRDefault="003232A3">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Acquisto fornitura o servizi</w:t>
            </w:r>
          </w:p>
          <w:p w:rsidR="008B290D" w:rsidRDefault="003232A3">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Misti</w:t>
            </w:r>
          </w:p>
          <w:p w:rsidR="008B290D" w:rsidRDefault="003232A3">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Affidamento diretto</w:t>
            </w:r>
          </w:p>
          <w:p w:rsidR="008B290D" w:rsidRDefault="003232A3">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negoziata senza previa pubblicazione di bando ex art. 63 d.lgs. n. 50/2016</w:t>
            </w:r>
          </w:p>
          <w:p w:rsidR="008B290D" w:rsidRDefault="003232A3">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aperta ex art. 60 d.lgs. n. 50/2016</w:t>
            </w:r>
          </w:p>
          <w:p w:rsidR="008B290D" w:rsidRDefault="003232A3">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ristretta ex art. 61 d.lgs. n. 50/2016</w:t>
            </w:r>
          </w:p>
          <w:p w:rsidR="008B290D" w:rsidRDefault="003232A3">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competitiva con negoziazione ex art. 62 d.lgs. n. 50/2016</w:t>
            </w:r>
          </w:p>
          <w:p w:rsidR="008B290D" w:rsidRDefault="003232A3">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Dialogo competitivo ex art. 64 d.lgs. n. 50/2016 (Procedura aperta, ristretta, etc.)</w:t>
            </w:r>
          </w:p>
          <w:p w:rsidR="008B290D" w:rsidRDefault="003232A3">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PFTE ex art. 48 D.L. n. 77/2021</w:t>
            </w:r>
          </w:p>
          <w:p w:rsidR="008B290D" w:rsidRDefault="003232A3">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progetto definitivo ex art. 1, comma 1, D.L. 32/2019 così come prorogato dall’art. 52 D.L. 77/2021 e </w:t>
            </w:r>
            <w:proofErr w:type="spellStart"/>
            <w:r>
              <w:rPr>
                <w:rFonts w:ascii="Garamond" w:eastAsia="Times New Roman" w:hAnsi="Garamond" w:cstheme="minorHAnsi"/>
                <w:lang w:eastAsia="it-IT"/>
              </w:rPr>
              <w:t>ss.</w:t>
            </w:r>
            <w:proofErr w:type="gramStart"/>
            <w:r>
              <w:rPr>
                <w:rFonts w:ascii="Garamond" w:eastAsia="Times New Roman" w:hAnsi="Garamond" w:cstheme="minorHAnsi"/>
                <w:lang w:eastAsia="it-IT"/>
              </w:rPr>
              <w:t>mm.ii</w:t>
            </w:r>
            <w:proofErr w:type="spellEnd"/>
            <w:r>
              <w:rPr>
                <w:rFonts w:ascii="Garamond" w:eastAsia="Times New Roman" w:hAnsi="Garamond" w:cstheme="minorHAnsi"/>
                <w:lang w:eastAsia="it-IT"/>
              </w:rPr>
              <w:t>.</w:t>
            </w:r>
            <w:proofErr w:type="gramEnd"/>
          </w:p>
          <w:p w:rsidR="008B290D" w:rsidRDefault="003232A3">
            <w:pPr>
              <w:spacing w:after="0" w:line="240" w:lineRule="auto"/>
            </w:pPr>
            <w:r>
              <w:rPr>
                <w:rFonts w:ascii="Symbol" w:eastAsia="Symbol" w:hAnsi="Symbol" w:cs="Symbol"/>
                <w:lang w:eastAsia="it-IT"/>
              </w:rPr>
              <w:t></w:t>
            </w:r>
            <w:r>
              <w:t xml:space="preserve"> </w:t>
            </w:r>
            <w:r>
              <w:rPr>
                <w:rFonts w:ascii="Garamond" w:eastAsia="Times New Roman" w:hAnsi="Garamond" w:cstheme="minorHAnsi"/>
                <w:lang w:eastAsia="it-IT"/>
              </w:rPr>
              <w:t>Altro (specificare)</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667161">
            <w:pPr>
              <w:spacing w:after="0" w:line="240" w:lineRule="auto"/>
              <w:rPr>
                <w:rFonts w:ascii="Garamond" w:eastAsia="Times New Roman" w:hAnsi="Garamond" w:cstheme="minorHAnsi"/>
                <w:lang w:eastAsia="it-IT"/>
              </w:rPr>
            </w:pPr>
            <w:r>
              <w:rPr>
                <w:rFonts w:ascii="Verdana" w:hAnsi="Verdana" w:cs="Verdana"/>
                <w:sz w:val="20"/>
                <w:szCs w:val="20"/>
              </w:rPr>
              <w:t>992604711D</w:t>
            </w:r>
            <w:bookmarkStart w:id="0" w:name="_GoBack"/>
            <w:bookmarkEnd w:id="0"/>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bando di gara</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rsidP="005A4C0E">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PROGETTO DI “</w:t>
            </w:r>
            <w:r w:rsidR="005A4C0E" w:rsidRPr="005A4C0E">
              <w:rPr>
                <w:rFonts w:ascii="Garamond" w:eastAsia="Times New Roman" w:hAnsi="Garamond" w:cstheme="minorHAnsi"/>
                <w:lang w:eastAsia="it-IT"/>
              </w:rPr>
              <w:t xml:space="preserve">MESSA IN SICUREZZA ISTITUTO BODONI DI PARMA" CUP D98H23000040006 (FIN. UE - NEXT GENERATION EU (M4-C1-I.3.3) </w:t>
            </w:r>
            <w:r>
              <w:rPr>
                <w:rFonts w:ascii="Garamond" w:eastAsia="Times New Roman" w:hAnsi="Garamond" w:cstheme="minorHAnsi"/>
                <w:lang w:eastAsia="it-IT"/>
              </w:rPr>
              <w:t>- Coordinamento della sicurezza in fase di esecuzione</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pPr>
              <w:spacing w:after="0" w:line="240" w:lineRule="auto"/>
              <w:rPr>
                <w:rFonts w:cstheme="minorHAnsi"/>
              </w:rPr>
            </w:pPr>
            <w:r>
              <w:rPr>
                <w:rFonts w:ascii="Garamond" w:eastAsia="Times New Roman" w:hAnsi="Garamond" w:cstheme="minorHAnsi"/>
                <w:lang w:eastAsia="it-IT"/>
              </w:rPr>
              <w:t xml:space="preserve">(Determina a contrarre, riferimento del contratto stipulato, data, RDO/ODA) - </w:t>
            </w:r>
            <w:r>
              <w:rPr>
                <w:rFonts w:ascii="Garamond" w:eastAsia="Times New Roman" w:hAnsi="Garamond" w:cstheme="minorHAnsi"/>
                <w:b/>
                <w:bCs/>
                <w:color w:val="3465A4"/>
                <w:lang w:eastAsia="it-IT"/>
              </w:rPr>
              <w:t>Atto di affidamento adottando</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431"/>
        </w:trPr>
        <w:tc>
          <w:tcPr>
            <w:tcW w:w="264" w:type="dxa"/>
            <w:tcBorders>
              <w:righ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ISTITUTO </w:t>
            </w:r>
            <w:r w:rsidR="005A4C0E">
              <w:rPr>
                <w:rFonts w:ascii="Garamond" w:eastAsia="Times New Roman" w:hAnsi="Garamond" w:cstheme="minorHAnsi"/>
                <w:lang w:eastAsia="it-IT"/>
              </w:rPr>
              <w:t>BODONI IN PARMA</w:t>
            </w:r>
          </w:p>
          <w:p w:rsidR="008B290D" w:rsidRDefault="005A4C0E">
            <w:pPr>
              <w:spacing w:after="0" w:line="240" w:lineRule="auto"/>
              <w:rPr>
                <w:rFonts w:ascii="Garamond" w:eastAsia="Times New Roman" w:hAnsi="Garamond" w:cstheme="minorHAnsi"/>
                <w:lang w:eastAsia="it-IT"/>
              </w:rPr>
            </w:pPr>
            <w:r w:rsidRPr="005A4C0E">
              <w:rPr>
                <w:rFonts w:ascii="Garamond" w:eastAsia="Times New Roman" w:hAnsi="Garamond" w:cstheme="minorHAnsi"/>
                <w:lang w:eastAsia="it-IT"/>
              </w:rPr>
              <w:t>Viale Piacenza, 14, 43126 Parma PR</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p w:rsidR="008B290D" w:rsidRDefault="008B290D">
            <w:pPr>
              <w:spacing w:after="0" w:line="240" w:lineRule="auto"/>
              <w:rPr>
                <w:rFonts w:ascii="Garamond" w:eastAsia="Times New Roman" w:hAnsi="Garamond" w:cstheme="minorHAnsi"/>
                <w:color w:val="000000"/>
                <w:lang w:eastAsia="it-IT"/>
              </w:rPr>
            </w:pPr>
          </w:p>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838"/>
        </w:trPr>
        <w:tc>
          <w:tcPr>
            <w:tcW w:w="264" w:type="dxa"/>
            <w:tcBorders>
              <w:righ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10272" w:type="dxa"/>
            <w:gridSpan w:val="8"/>
            <w:tcBorders>
              <w:top w:val="single" w:sz="2" w:space="0" w:color="000000"/>
              <w:left w:val="single" w:sz="2" w:space="0" w:color="000000"/>
              <w:bottom w:val="single" w:sz="4" w:space="0" w:color="000000"/>
              <w:right w:val="single" w:sz="2" w:space="0" w:color="000000"/>
            </w:tcBorders>
            <w:shd w:val="clear" w:color="auto" w:fill="auto"/>
            <w:vAlign w:val="center"/>
          </w:tcPr>
          <w:p w:rsidR="008B290D" w:rsidRDefault="003232A3">
            <w:pPr>
              <w:spacing w:after="0" w:line="240" w:lineRule="auto"/>
              <w:rPr>
                <w:rFonts w:cstheme="minorHAnsi"/>
              </w:rPr>
            </w:pPr>
            <w:r>
              <w:rPr>
                <w:rFonts w:ascii="Garamond" w:eastAsia="Times New Roman" w:hAnsi="Garamond" w:cstheme="minorHAnsi"/>
                <w:lang w:eastAsia="it-IT"/>
              </w:rPr>
              <w:t>Avvio: [</w:t>
            </w:r>
            <w:r w:rsidR="005A4C0E">
              <w:rPr>
                <w:rFonts w:ascii="Garamond" w:eastAsia="Times New Roman" w:hAnsi="Garamond" w:cstheme="minorHAnsi"/>
                <w:lang w:eastAsia="it-IT"/>
              </w:rPr>
              <w:t>06</w:t>
            </w:r>
            <w:r>
              <w:rPr>
                <w:rFonts w:ascii="Garamond" w:eastAsia="Times New Roman" w:hAnsi="Garamond" w:cstheme="minorHAnsi"/>
                <w:lang w:eastAsia="it-IT"/>
              </w:rPr>
              <w:t>/</w:t>
            </w:r>
            <w:r w:rsidR="005A4C0E">
              <w:rPr>
                <w:rFonts w:ascii="Garamond" w:eastAsia="Times New Roman" w:hAnsi="Garamond" w:cstheme="minorHAnsi"/>
                <w:lang w:eastAsia="it-IT"/>
              </w:rPr>
              <w:t>11</w:t>
            </w:r>
            <w:r>
              <w:rPr>
                <w:rFonts w:ascii="Garamond" w:eastAsia="Times New Roman" w:hAnsi="Garamond" w:cstheme="minorHAnsi"/>
                <w:lang w:eastAsia="it-IT"/>
              </w:rPr>
              <w:t>/2023 (avvio Trattativa diretta su SATER)]</w:t>
            </w:r>
          </w:p>
          <w:p w:rsidR="008B290D" w:rsidRDefault="003232A3">
            <w:pPr>
              <w:spacing w:after="0" w:line="240" w:lineRule="auto"/>
              <w:rPr>
                <w:rFonts w:cstheme="minorHAnsi"/>
              </w:rPr>
            </w:pPr>
            <w:r>
              <w:rPr>
                <w:rFonts w:ascii="Garamond" w:eastAsia="Times New Roman" w:hAnsi="Garamond" w:cstheme="minorHAnsi"/>
                <w:lang w:eastAsia="it-IT"/>
              </w:rPr>
              <w:t>Conclusione: [</w:t>
            </w:r>
            <w:r>
              <w:rPr>
                <w:rFonts w:ascii="Garamond" w:eastAsia="Times New Roman" w:hAnsi="Garamond" w:cstheme="minorHAnsi"/>
                <w:b/>
                <w:bCs/>
                <w:color w:val="3465A4"/>
                <w:lang w:eastAsia="it-IT"/>
              </w:rPr>
              <w:t>data atto di affidamento adottando</w:t>
            </w:r>
            <w:r>
              <w:rPr>
                <w:rFonts w:ascii="Garamond" w:eastAsia="Times New Roman" w:hAnsi="Garamond" w:cstheme="minorHAnsi"/>
                <w:lang w:eastAsia="it-IT"/>
              </w:rPr>
              <w:t>]</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center"/>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rsidP="005A4C0E">
            <w:pPr>
              <w:spacing w:after="0" w:line="240" w:lineRule="auto"/>
              <w:rPr>
                <w:rFonts w:ascii="Garamond" w:eastAsia="Times New Roman" w:hAnsi="Garamond" w:cstheme="minorHAnsi"/>
                <w:lang w:eastAsia="it-IT"/>
              </w:rPr>
            </w:pPr>
            <w:r>
              <w:t xml:space="preserve">€ </w:t>
            </w:r>
            <w:r w:rsidR="005A4C0E">
              <w:t>9.500,00</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center"/>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Rilevanza comunitaria</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center"/>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rsidR="008B290D" w:rsidRDefault="003232A3">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rsidR="008B290D" w:rsidRDefault="003232A3">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rsidR="008B290D" w:rsidRDefault="003232A3">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Altro (specificare)</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center"/>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5A4C0E">
            <w:pPr>
              <w:spacing w:after="0" w:line="240" w:lineRule="auto"/>
              <w:rPr>
                <w:rFonts w:ascii="Garamond" w:eastAsia="Times New Roman" w:hAnsi="Garamond" w:cstheme="minorHAnsi"/>
                <w:lang w:eastAsia="it-IT"/>
              </w:rPr>
            </w:pPr>
            <w:r>
              <w:rPr>
                <w:rFonts w:ascii="Times New Roman" w:hAnsi="Times New Roman" w:cs="Times New Roman"/>
                <w:color w:val="000000"/>
                <w:szCs w:val="20"/>
                <w:shd w:val="clear" w:color="auto" w:fill="FFFFFF"/>
              </w:rPr>
              <w:t xml:space="preserve">Geom. Federici </w:t>
            </w:r>
            <w:proofErr w:type="spellStart"/>
            <w:r>
              <w:rPr>
                <w:rFonts w:ascii="Times New Roman" w:hAnsi="Times New Roman" w:cs="Times New Roman"/>
                <w:color w:val="000000"/>
                <w:szCs w:val="20"/>
                <w:shd w:val="clear" w:color="auto" w:fill="FFFFFF"/>
              </w:rPr>
              <w:t>Comelli</w:t>
            </w:r>
            <w:proofErr w:type="spellEnd"/>
            <w:r>
              <w:rPr>
                <w:rFonts w:ascii="Times New Roman" w:hAnsi="Times New Roman" w:cs="Times New Roman"/>
                <w:color w:val="000000"/>
                <w:szCs w:val="20"/>
                <w:shd w:val="clear" w:color="auto" w:fill="FFFFFF"/>
              </w:rPr>
              <w:t xml:space="preserve"> con sede in Via Zappati n. 2 Sala Baganza - 43038 – Parma, </w:t>
            </w:r>
            <w:proofErr w:type="spellStart"/>
            <w:r>
              <w:rPr>
                <w:rFonts w:ascii="Times New Roman" w:hAnsi="Times New Roman" w:cs="Times New Roman"/>
                <w:color w:val="000000"/>
                <w:szCs w:val="20"/>
                <w:shd w:val="clear" w:color="auto" w:fill="FFFFFF"/>
              </w:rPr>
              <w:t>p.iva</w:t>
            </w:r>
            <w:proofErr w:type="spellEnd"/>
            <w:r>
              <w:rPr>
                <w:rFonts w:ascii="Times New Roman" w:hAnsi="Times New Roman" w:cs="Times New Roman"/>
                <w:color w:val="000000"/>
                <w:szCs w:val="20"/>
                <w:shd w:val="clear" w:color="auto" w:fill="FFFFFF"/>
              </w:rPr>
              <w:t xml:space="preserve"> 02337000349</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center"/>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pPr>
              <w:spacing w:after="0" w:line="240" w:lineRule="auto"/>
            </w:pPr>
            <w:r>
              <w:rPr>
                <w:rFonts w:ascii="Garamond" w:eastAsia="Times New Roman" w:hAnsi="Garamond" w:cstheme="minorHAnsi"/>
                <w:b/>
                <w:bCs/>
                <w:color w:val="3465A4"/>
                <w:lang w:eastAsia="it-IT"/>
              </w:rPr>
              <w:t>Stipulato a seguito di avvenuta esecutività dell’atto adottando</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center"/>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rsidP="005A4C0E">
            <w:pPr>
              <w:spacing w:after="0" w:line="240" w:lineRule="auto"/>
              <w:rPr>
                <w:rFonts w:ascii="Garamond" w:eastAsia="Times New Roman" w:hAnsi="Garamond" w:cstheme="minorHAnsi"/>
                <w:lang w:eastAsia="it-IT"/>
              </w:rPr>
            </w:pPr>
            <w:r>
              <w:rPr>
                <w:rFonts w:ascii="Garamond" w:eastAsia="Times New Roman" w:hAnsi="Garamond" w:cstheme="minorHAnsi"/>
                <w:color w:val="000000"/>
                <w:lang w:eastAsia="it-IT"/>
              </w:rPr>
              <w:t xml:space="preserve">€ </w:t>
            </w:r>
            <w:r w:rsidR="005A4C0E">
              <w:rPr>
                <w:rFonts w:ascii="Garamond" w:eastAsia="Times New Roman" w:hAnsi="Garamond" w:cstheme="minorHAnsi"/>
                <w:color w:val="000000"/>
                <w:lang w:eastAsia="it-IT"/>
              </w:rPr>
              <w:t>9.500</w:t>
            </w:r>
            <w:r>
              <w:rPr>
                <w:rFonts w:ascii="Garamond" w:eastAsia="Times New Roman" w:hAnsi="Garamond" w:cstheme="minorHAnsi"/>
                <w:color w:val="000000"/>
                <w:lang w:eastAsia="it-IT"/>
              </w:rPr>
              <w:t>,00</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center"/>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5A4C0E">
            <w:pPr>
              <w:spacing w:after="0" w:line="240" w:lineRule="auto"/>
              <w:rPr>
                <w:rFonts w:ascii="Garamond" w:eastAsia="Times New Roman" w:hAnsi="Garamond" w:cstheme="minorHAnsi"/>
                <w:lang w:eastAsia="it-IT"/>
              </w:rPr>
            </w:pPr>
            <w:r>
              <w:rPr>
                <w:rFonts w:ascii="Garamond" w:eastAsia="Times New Roman" w:hAnsi="Garamond" w:cstheme="minorHAnsi"/>
                <w:color w:val="000000"/>
                <w:lang w:eastAsia="it-IT"/>
              </w:rPr>
              <w:t xml:space="preserve">Cassa previdenziale al 5%+IVA al 22%= </w:t>
            </w:r>
            <w:r>
              <w:rPr>
                <w:rFonts w:ascii="Garamond" w:eastAsia="Times New Roman" w:hAnsi="Garamond" w:cstheme="minorHAnsi"/>
                <w:lang w:eastAsia="it-IT"/>
              </w:rPr>
              <w:t>€</w:t>
            </w:r>
            <w:r>
              <w:rPr>
                <w:rFonts w:ascii="Garamond" w:eastAsia="Times New Roman" w:hAnsi="Garamond" w:cstheme="minorHAnsi"/>
                <w:lang w:eastAsia="it-IT"/>
              </w:rPr>
              <w:t xml:space="preserve"> </w:t>
            </w:r>
            <w:r w:rsidRPr="005A4C0E">
              <w:rPr>
                <w:rFonts w:ascii="Garamond" w:eastAsia="Times New Roman" w:hAnsi="Garamond" w:cstheme="minorHAnsi"/>
                <w:color w:val="000000"/>
                <w:lang w:eastAsia="it-IT"/>
              </w:rPr>
              <w:t>2.669,5</w:t>
            </w:r>
            <w:r>
              <w:rPr>
                <w:rFonts w:ascii="Garamond" w:eastAsia="Times New Roman" w:hAnsi="Garamond" w:cstheme="minorHAnsi"/>
                <w:color w:val="000000"/>
                <w:lang w:eastAsia="it-IT"/>
              </w:rPr>
              <w:t xml:space="preserve">0 </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center"/>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pPr>
              <w:spacing w:after="0" w:line="240" w:lineRule="auto"/>
            </w:pPr>
            <w:r>
              <w:rPr>
                <w:rFonts w:ascii="Garamond" w:eastAsia="Times New Roman" w:hAnsi="Garamond" w:cstheme="minorHAnsi"/>
                <w:lang w:eastAsia="it-IT"/>
              </w:rPr>
              <w:t xml:space="preserve">€ </w:t>
            </w:r>
            <w:r w:rsidR="005A4C0E" w:rsidRPr="005A4C0E">
              <w:rPr>
                <w:rFonts w:ascii="Garamond" w:eastAsia="Times New Roman" w:hAnsi="Garamond" w:cstheme="minorHAnsi"/>
                <w:lang w:eastAsia="it-IT"/>
              </w:rPr>
              <w:t>12.169,5</w:t>
            </w:r>
            <w:r w:rsidR="005A4C0E">
              <w:rPr>
                <w:rFonts w:ascii="Garamond" w:eastAsia="Times New Roman" w:hAnsi="Garamond" w:cstheme="minorHAnsi"/>
                <w:lang w:eastAsia="it-IT"/>
              </w:rPr>
              <w:t>0</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center"/>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5A4C0E">
            <w:pPr>
              <w:spacing w:after="0" w:line="240" w:lineRule="auto"/>
              <w:rPr>
                <w:rFonts w:ascii="Garamond" w:eastAsia="Times New Roman" w:hAnsi="Garamond" w:cstheme="minorHAnsi"/>
                <w:lang w:eastAsia="it-IT"/>
              </w:rPr>
            </w:pPr>
            <w:r>
              <w:rPr>
                <w:rFonts w:ascii="Garamond" w:eastAsia="Times New Roman" w:hAnsi="Garamond" w:cstheme="minorHAnsi"/>
                <w:color w:val="000000"/>
                <w:lang w:eastAsia="it-IT"/>
              </w:rPr>
              <w:t>0,00</w:t>
            </w:r>
            <w:r w:rsidR="003232A3">
              <w:rPr>
                <w:rFonts w:ascii="Garamond" w:eastAsia="Times New Roman" w:hAnsi="Garamond" w:cstheme="minorHAnsi"/>
                <w:color w:val="000000"/>
                <w:lang w:eastAsia="it-IT"/>
              </w:rPr>
              <w:t>%</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r w:rsidR="008B290D">
        <w:trPr>
          <w:trHeight w:val="538"/>
        </w:trPr>
        <w:tc>
          <w:tcPr>
            <w:tcW w:w="264" w:type="dxa"/>
            <w:tcBorders>
              <w:right w:val="single" w:sz="2" w:space="0" w:color="000000"/>
            </w:tcBorders>
            <w:shd w:val="clear" w:color="000000" w:fill="FFFFFF"/>
            <w:vAlign w:val="center"/>
          </w:tcPr>
          <w:p w:rsidR="008B290D" w:rsidRDefault="008B290D">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Luogo di conservazione della documentazione</w:t>
            </w:r>
          </w:p>
          <w:p w:rsidR="008B290D" w:rsidRDefault="003232A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color w:val="FFFFFF"/>
                <w:sz w:val="18"/>
                <w:szCs w:val="18"/>
                <w:lang w:eastAsia="it-IT"/>
              </w:rPr>
              <w:t>(</w:t>
            </w:r>
            <w:r>
              <w:rPr>
                <w:rFonts w:ascii="Garamond" w:eastAsia="Times New Roman" w:hAnsi="Garamond" w:cstheme="minorHAnsi"/>
                <w:color w:val="FFFFFF" w:themeColor="background1"/>
                <w:sz w:val="18"/>
                <w:szCs w:val="18"/>
                <w:lang w:eastAsia="it-IT"/>
              </w:rPr>
              <w:t>Ente/Ufficio/Stanza o Server/archivio informatico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8B290D" w:rsidRDefault="003232A3">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169" w:type="dxa"/>
            <w:tcBorders>
              <w:left w:val="single" w:sz="2" w:space="0" w:color="000000"/>
            </w:tcBorders>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8B290D" w:rsidRDefault="008B290D">
            <w:pPr>
              <w:spacing w:after="0" w:line="240" w:lineRule="auto"/>
              <w:rPr>
                <w:rFonts w:ascii="Garamond" w:eastAsia="Times New Roman" w:hAnsi="Garamond" w:cstheme="minorHAnsi"/>
                <w:color w:val="000000"/>
                <w:lang w:eastAsia="it-IT"/>
              </w:rPr>
            </w:pPr>
          </w:p>
        </w:tc>
        <w:tc>
          <w:tcPr>
            <w:tcW w:w="56" w:type="dxa"/>
          </w:tcPr>
          <w:p w:rsidR="008B290D" w:rsidRDefault="008B290D"/>
        </w:tc>
      </w:tr>
    </w:tbl>
    <w:p w:rsidR="008B290D" w:rsidRDefault="008B290D">
      <w:pPr>
        <w:rPr>
          <w:rFonts w:ascii="Garamond" w:hAnsi="Garamond"/>
        </w:rPr>
      </w:pPr>
    </w:p>
    <w:p w:rsidR="008B290D" w:rsidRDefault="008B290D">
      <w:pPr>
        <w:rPr>
          <w:rFonts w:ascii="Garamond" w:hAnsi="Garamond"/>
        </w:rPr>
      </w:pPr>
    </w:p>
    <w:tbl>
      <w:tblPr>
        <w:tblW w:w="5000" w:type="pct"/>
        <w:tblCellMar>
          <w:left w:w="70" w:type="dxa"/>
          <w:right w:w="70" w:type="dxa"/>
        </w:tblCellMar>
        <w:tblLook w:val="04A0" w:firstRow="1" w:lastRow="0" w:firstColumn="1" w:lastColumn="0" w:noHBand="0" w:noVBand="1"/>
      </w:tblPr>
      <w:tblGrid>
        <w:gridCol w:w="672"/>
        <w:gridCol w:w="4543"/>
        <w:gridCol w:w="568"/>
        <w:gridCol w:w="682"/>
        <w:gridCol w:w="797"/>
        <w:gridCol w:w="2202"/>
        <w:gridCol w:w="2039"/>
        <w:gridCol w:w="2774"/>
      </w:tblGrid>
      <w:tr w:rsidR="008B290D">
        <w:trPr>
          <w:trHeight w:val="1500"/>
          <w:tblHeader/>
        </w:trPr>
        <w:tc>
          <w:tcPr>
            <w:tcW w:w="5220" w:type="dxa"/>
            <w:gridSpan w:val="2"/>
            <w:tcBorders>
              <w:top w:val="single" w:sz="4" w:space="0" w:color="000000"/>
              <w:left w:val="single" w:sz="4" w:space="0" w:color="000000"/>
              <w:bottom w:val="single" w:sz="4" w:space="0" w:color="000000"/>
              <w:right w:val="single" w:sz="4" w:space="0" w:color="000000"/>
            </w:tcBorders>
            <w:shd w:val="clear" w:color="000000" w:fill="1F497D"/>
            <w:vAlign w:val="center"/>
          </w:tcPr>
          <w:p w:rsidR="008B290D" w:rsidRDefault="003232A3">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Verifica affidamento/esecuzione appalto</w:t>
            </w:r>
          </w:p>
        </w:tc>
        <w:tc>
          <w:tcPr>
            <w:tcW w:w="568"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8B290D" w:rsidRDefault="003232A3">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SI</w:t>
            </w:r>
          </w:p>
        </w:tc>
        <w:tc>
          <w:tcPr>
            <w:tcW w:w="682"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8B290D" w:rsidRDefault="003232A3">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w:t>
            </w:r>
          </w:p>
        </w:tc>
        <w:tc>
          <w:tcPr>
            <w:tcW w:w="797"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8B290D" w:rsidRDefault="003232A3">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N.A.</w:t>
            </w:r>
          </w:p>
        </w:tc>
        <w:tc>
          <w:tcPr>
            <w:tcW w:w="2203"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8B290D" w:rsidRDefault="003232A3">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203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8B290D" w:rsidRDefault="003232A3">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Note</w:t>
            </w:r>
          </w:p>
        </w:tc>
        <w:tc>
          <w:tcPr>
            <w:tcW w:w="2776"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8B290D" w:rsidRDefault="003232A3">
            <w:pPr>
              <w:spacing w:after="0" w:line="240" w:lineRule="auto"/>
              <w:jc w:val="center"/>
              <w:rPr>
                <w:rFonts w:ascii="Garamond" w:eastAsia="Times New Roman" w:hAnsi="Garamond" w:cstheme="minorHAnsi"/>
                <w:b/>
                <w:bCs/>
                <w:lang w:eastAsia="it-IT"/>
              </w:rPr>
            </w:pPr>
            <w:r>
              <w:rPr>
                <w:rFonts w:ascii="Garamond" w:eastAsia="Times New Roman" w:hAnsi="Garamond" w:cstheme="minorHAnsi"/>
                <w:b/>
                <w:bCs/>
                <w:lang w:eastAsia="it-IT"/>
              </w:rPr>
              <w:t>Oggetto del controllo</w:t>
            </w:r>
          </w:p>
        </w:tc>
      </w:tr>
      <w:tr w:rsidR="008B290D">
        <w:trPr>
          <w:trHeight w:val="680"/>
        </w:trPr>
        <w:tc>
          <w:tcPr>
            <w:tcW w:w="674"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8B290D" w:rsidRDefault="003232A3">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13611"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 xml:space="preserve">Parte generale </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8B290D">
            <w:pPr>
              <w:spacing w:after="0" w:line="240" w:lineRule="auto"/>
              <w:rPr>
                <w:rFonts w:ascii="Garamond" w:eastAsia="Times New Roman" w:hAnsi="Garamond" w:cs="Times New Roman"/>
                <w:color w:val="000000"/>
                <w:sz w:val="20"/>
                <w:lang w:eastAsia="it-IT"/>
              </w:rPr>
            </w:pP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gara (Bando, avviso, capitolato, altro);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•DSAN </w:t>
            </w:r>
          </w:p>
        </w:tc>
      </w:tr>
      <w:tr w:rsidR="008B290D">
        <w:trPr>
          <w:trHeight w:val="135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•DSAN </w:t>
            </w:r>
          </w:p>
          <w:p w:rsidR="008B290D" w:rsidRDefault="003232A3">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•Visura camerale</w:t>
            </w:r>
          </w:p>
          <w:p w:rsidR="008B290D" w:rsidRDefault="003232A3">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8B290D">
        <w:trPr>
          <w:trHeight w:val="823"/>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Elaborati analitici e grafici relativi alle fasi progettuali già approvate;</w:t>
            </w:r>
          </w:p>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8B290D" w:rsidRDefault="003232A3">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p w:rsidR="008B290D" w:rsidRDefault="003232A3">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tc>
      </w:tr>
      <w:tr w:rsidR="008B290D">
        <w:trPr>
          <w:trHeight w:val="669"/>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 xml:space="preserve">La procedura di affidamento oggetto di controllo, nell’ambito degli ulteriori requisiti PNRR contribuisce al principio del </w:t>
            </w:r>
            <w:proofErr w:type="spellStart"/>
            <w:r>
              <w:rPr>
                <w:rFonts w:ascii="Garamond" w:eastAsia="Times New Roman" w:hAnsi="Garamond" w:cs="Times New Roman"/>
                <w:color w:val="000000"/>
                <w:lang w:eastAsia="it-IT"/>
              </w:rPr>
              <w:t>tagging</w:t>
            </w:r>
            <w:proofErr w:type="spellEnd"/>
            <w:r>
              <w:rPr>
                <w:rFonts w:ascii="Garamond" w:eastAsia="Times New Roman" w:hAnsi="Garamond" w:cs="Times New Roman"/>
                <w:color w:val="000000"/>
                <w:lang w:eastAsia="it-IT"/>
              </w:rPr>
              <w:t xml:space="preserve"> del clima o del </w:t>
            </w:r>
            <w:proofErr w:type="spellStart"/>
            <w:r>
              <w:rPr>
                <w:rFonts w:ascii="Garamond" w:eastAsia="Times New Roman" w:hAnsi="Garamond" w:cs="Times New Roman"/>
                <w:color w:val="000000"/>
                <w:lang w:eastAsia="it-IT"/>
              </w:rPr>
              <w:t>tagging</w:t>
            </w:r>
            <w:proofErr w:type="spellEnd"/>
            <w:r>
              <w:rPr>
                <w:rFonts w:ascii="Garamond" w:eastAsia="Times New Roman" w:hAnsi="Garamond" w:cs="Times New Roman"/>
                <w:color w:val="000000"/>
                <w:lang w:eastAsia="it-IT"/>
              </w:rPr>
              <w:t xml:space="preserve"> digitale?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highlight w:val="yellow"/>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8B290D" w:rsidRDefault="003232A3">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•Atto di riconducibilità per i progetti in essere </w:t>
            </w:r>
          </w:p>
          <w:p w:rsidR="008B290D" w:rsidRDefault="003232A3">
            <w:pPr>
              <w:spacing w:after="0" w:line="240" w:lineRule="auto"/>
              <w:rPr>
                <w:rFonts w:ascii="Garamond" w:eastAsia="Times New Roman" w:hAnsi="Garamond" w:cs="Times New Roman"/>
                <w:color w:val="000000"/>
                <w:sz w:val="20"/>
                <w:szCs w:val="20"/>
                <w:highlight w:val="yellow"/>
                <w:lang w:eastAsia="it-IT"/>
              </w:rPr>
            </w:pPr>
            <w:r>
              <w:rPr>
                <w:rFonts w:ascii="Garamond" w:eastAsia="Times New Roman" w:hAnsi="Garamond" w:cs="Times New Roman"/>
                <w:color w:val="000000"/>
                <w:sz w:val="20"/>
                <w:szCs w:val="20"/>
                <w:lang w:eastAsia="it-IT"/>
              </w:rPr>
              <w:t>•Contratto di appalto</w:t>
            </w:r>
          </w:p>
        </w:tc>
      </w:tr>
      <w:tr w:rsidR="008B290D">
        <w:trPr>
          <w:trHeight w:val="1739"/>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rsidR="008B290D" w:rsidRDefault="003232A3">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rsidR="008B290D" w:rsidRDefault="003232A3">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rsidR="008B290D" w:rsidRDefault="003232A3">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superamento dei divari territoriali.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8B290D" w:rsidRDefault="003232A3">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tc>
      </w:tr>
      <w:tr w:rsidR="008B290D">
        <w:trPr>
          <w:trHeight w:val="186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capitolato/avviso/ecc.) riporta il riferimento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highlight w:val="yellow"/>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8B290D">
        <w:trPr>
          <w:trHeight w:val="680"/>
        </w:trPr>
        <w:tc>
          <w:tcPr>
            <w:tcW w:w="674"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8B290D" w:rsidRDefault="003232A3">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13611"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8B290D" w:rsidRDefault="003232A3">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 principio di non arrecare danno significativo all’ambiente (DNSH)</w:t>
            </w:r>
          </w:p>
        </w:tc>
      </w:tr>
      <w:tr w:rsidR="008B290D">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l’esecuzione di lavori/servizi/forniture è stato applicato il Regime (1 o 2) previsto per la specifica Misura?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 </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•Progetto/Scheda progettuale</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DNSH</w:t>
            </w:r>
          </w:p>
        </w:tc>
      </w:tr>
      <w:tr w:rsidR="008B290D">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Allineamento della prestazione agli obiettivi del progetto</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CL di autocontrollo procedura di selezione dei fornitori</w:t>
            </w:r>
          </w:p>
        </w:tc>
      </w:tr>
      <w:tr w:rsidR="008B290D">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8B290D">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Dichiarazione DNSH</w:t>
            </w:r>
          </w:p>
        </w:tc>
      </w:tr>
      <w:tr w:rsidR="008B290D">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state correttamente compilate le </w:t>
            </w:r>
            <w:proofErr w:type="spellStart"/>
            <w:r>
              <w:rPr>
                <w:rFonts w:ascii="Garamond" w:eastAsia="Times New Roman" w:hAnsi="Garamond" w:cs="Times New Roman"/>
                <w:color w:val="000000"/>
                <w:lang w:eastAsia="it-IT"/>
              </w:rPr>
              <w:t>check</w:t>
            </w:r>
            <w:proofErr w:type="spellEnd"/>
            <w:r>
              <w:rPr>
                <w:rFonts w:ascii="Garamond" w:eastAsia="Times New Roman" w:hAnsi="Garamond" w:cs="Times New Roman"/>
                <w:color w:val="000000"/>
                <w:lang w:eastAsia="it-IT"/>
              </w:rPr>
              <w:t xml:space="preserve"> list volte a dimostrare il rispetto del principio di non arrecare danno significativo all’ambiente (DNSH) così come indicato nelle apposite linee guida?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8B290D">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correttamente conservato in formato cartaceo e/o elettronico, tutti i documenti necessari per la compilazione delle </w:t>
            </w:r>
            <w:proofErr w:type="spellStart"/>
            <w:r>
              <w:rPr>
                <w:rFonts w:ascii="Garamond" w:eastAsia="Times New Roman" w:hAnsi="Garamond" w:cs="Times New Roman"/>
                <w:color w:val="000000"/>
                <w:lang w:eastAsia="it-IT"/>
              </w:rPr>
              <w:t>check</w:t>
            </w:r>
            <w:proofErr w:type="spellEnd"/>
            <w:r>
              <w:rPr>
                <w:rFonts w:ascii="Garamond" w:eastAsia="Times New Roman" w:hAnsi="Garamond" w:cs="Times New Roman"/>
                <w:color w:val="000000"/>
                <w:lang w:eastAsia="it-IT"/>
              </w:rPr>
              <w:t xml:space="preserve"> list per le verifiche e i controlli per garantire il principio DNSH (cfr. Linee Guida DNSH)?</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8B290D">
        <w:trPr>
          <w:trHeight w:val="680"/>
        </w:trPr>
        <w:tc>
          <w:tcPr>
            <w:tcW w:w="674"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8B290D" w:rsidRDefault="003232A3">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13611"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8B290D" w:rsidRDefault="003232A3">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lang w:eastAsia="it-IT"/>
              </w:rPr>
              <w:t xml:space="preserve">Determina a contrarre e documenti di gara </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stati rispettati </w:t>
            </w:r>
            <w:r>
              <w:rPr>
                <w:rFonts w:ascii="Garamond" w:eastAsia="Times New Roman" w:hAnsi="Garamond" w:cs="Times New Roman"/>
                <w:bCs/>
                <w:color w:val="000000"/>
                <w:lang w:eastAsia="it-IT"/>
              </w:rPr>
              <w:t>gli</w:t>
            </w:r>
            <w:r>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Per l’effettuazione della specifica verifica si rimanda agli artt. 21 e 29 d.lgs. n. 50/2016. </w:t>
            </w:r>
          </w:p>
          <w:p w:rsidR="008B290D" w:rsidRDefault="008B290D">
            <w:pPr>
              <w:spacing w:after="0" w:line="240" w:lineRule="auto"/>
              <w:rPr>
                <w:rFonts w:ascii="Garamond" w:eastAsia="Times New Roman" w:hAnsi="Garamond" w:cs="Times New Roman"/>
                <w:color w:val="000000"/>
                <w:sz w:val="20"/>
                <w:lang w:eastAsia="it-IT"/>
              </w:rPr>
            </w:pP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•Programma biennale delle forniture e servizi </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•Programma triennale lavori</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approvazione del Programma biennale/triennale</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•Link profilo committente </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sito informatico del Ministero delle infrastrutture e dei trasporti e dell’Osservatorio</w:t>
            </w:r>
          </w:p>
        </w:tc>
      </w:tr>
      <w:tr w:rsidR="008B290D">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è in possesso della qualificazione prevista all’art. 38 del d.lgs. n. 50/2016 e ha rispettato quanto disposto dall’art. 37 del d.lgs.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8B290D">
            <w:pPr>
              <w:spacing w:after="0" w:line="240" w:lineRule="auto"/>
              <w:rPr>
                <w:rFonts w:ascii="Garamond" w:eastAsia="Times New Roman" w:hAnsi="Garamond" w:cs="Times New Roman"/>
                <w:color w:val="000000"/>
                <w:lang w:eastAsia="it-IT"/>
              </w:rPr>
            </w:pPr>
          </w:p>
        </w:tc>
      </w:tr>
      <w:tr w:rsidR="008B290D">
        <w:trPr>
          <w:trHeight w:val="823"/>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Laddove la stazione appaltante sia un Comune non capoluogo di Provincia ha proceduto secondo le modalità previste dall'art. 37 co. 4 del d. </w:t>
            </w:r>
            <w:proofErr w:type="spellStart"/>
            <w:r>
              <w:rPr>
                <w:rFonts w:ascii="Garamond" w:eastAsia="Times New Roman" w:hAnsi="Garamond" w:cs="Times New Roman"/>
                <w:color w:val="000000"/>
                <w:lang w:eastAsia="it-IT"/>
              </w:rPr>
              <w:t>lgs</w:t>
            </w:r>
            <w:proofErr w:type="spellEnd"/>
            <w:r>
              <w:rPr>
                <w:rFonts w:ascii="Garamond" w:eastAsia="Times New Roman" w:hAnsi="Garamond" w:cs="Times New Roman"/>
                <w:color w:val="000000"/>
                <w:lang w:eastAsia="it-IT"/>
              </w:rPr>
              <w:t>. 50/2016, in particolare:</w:t>
            </w:r>
          </w:p>
          <w:p w:rsidR="008B290D" w:rsidRDefault="003232A3">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ad una Centrale di committenza o a soggetti aggregatori qualificati?</w:t>
            </w:r>
          </w:p>
          <w:p w:rsidR="008B290D" w:rsidRDefault="003232A3">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rsidR="008B290D" w:rsidRDefault="003232A3">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alla Stazione unica appaltante ai sensi dell’art.37 co. 4 d.lgs.50/2016?</w:t>
            </w:r>
          </w:p>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N.B.: comma in deroga fino al 30 giugno 2023, ma non per i progetti cofinanziati con PNRR o PNC</w:t>
            </w:r>
          </w:p>
          <w:p w:rsidR="008B290D" w:rsidRDefault="008B290D">
            <w:pPr>
              <w:spacing w:after="0" w:line="240" w:lineRule="auto"/>
              <w:jc w:val="both"/>
              <w:rPr>
                <w:rFonts w:ascii="Garamond" w:eastAsia="Times New Roman" w:hAnsi="Garamond" w:cs="Times New Roman"/>
                <w:i/>
                <w:iCs/>
                <w:color w:val="000000"/>
                <w:lang w:eastAsia="it-IT"/>
              </w:rPr>
            </w:pP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w:t>
            </w:r>
          </w:p>
        </w:tc>
      </w:tr>
      <w:tr w:rsidR="008B290D">
        <w:trPr>
          <w:trHeight w:val="823"/>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nominato il Responsabile unico del procedimento ai sensi dell’art. 31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nomina del RUP</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nomina del RUP</w:t>
            </w:r>
          </w:p>
        </w:tc>
      </w:tr>
      <w:tr w:rsidR="008B290D">
        <w:trPr>
          <w:trHeight w:val="669"/>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 xml:space="preserve">Nel caso di opere pubbliche, prima dell’inizio delle procedure di affidamento, gli elaborati progettuali sono stati verificati e validati ai sensi dell’art. 26, </w:t>
            </w:r>
            <w:r>
              <w:rPr>
                <w:rFonts w:ascii="Garamond" w:eastAsia="Times New Roman" w:hAnsi="Garamond" w:cs="Times New Roman"/>
                <w:color w:val="000000"/>
                <w:lang w:eastAsia="it-IT"/>
              </w:rPr>
              <w:lastRenderedPageBreak/>
              <w:t xml:space="preserve">comma 8, del d.lgs. n. 50/2016, nonché approvati ai sensi dell’art. 27 del d. </w:t>
            </w:r>
            <w:proofErr w:type="spellStart"/>
            <w:r>
              <w:rPr>
                <w:rFonts w:ascii="Garamond" w:eastAsia="Times New Roman" w:hAnsi="Garamond" w:cs="Times New Roman"/>
                <w:color w:val="000000"/>
                <w:lang w:eastAsia="it-IT"/>
              </w:rPr>
              <w:t>lgs</w:t>
            </w:r>
            <w:proofErr w:type="spellEnd"/>
            <w:r>
              <w:rPr>
                <w:rFonts w:ascii="Garamond" w:eastAsia="Times New Roman" w:hAnsi="Garamond" w:cs="Times New Roman"/>
                <w:color w:val="000000"/>
                <w:lang w:eastAsia="it-IT"/>
              </w:rPr>
              <w:t xml:space="preserve"> 50/2016 medesimo?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highlight w:val="yellow"/>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highlight w:val="yellow"/>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Per l’effettuazione della specifica verifica si rimanda agli Artt. 23,26, 27 D.lgs. 50/2016.</w:t>
            </w:r>
          </w:p>
          <w:p w:rsidR="008B290D" w:rsidRDefault="008B290D">
            <w:pPr>
              <w:spacing w:after="0" w:line="240" w:lineRule="auto"/>
              <w:rPr>
                <w:rFonts w:ascii="Garamond" w:eastAsia="Times New Roman" w:hAnsi="Garamond" w:cs="Times New Roman"/>
                <w:color w:val="000000"/>
                <w:sz w:val="20"/>
                <w:lang w:eastAsia="it-IT"/>
              </w:rPr>
            </w:pP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lastRenderedPageBreak/>
              <w:t>•Progetto di fattibilità tecnica ed economica, progetto definitivo, progetto esecutivo;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approvazione dei progetti/Atti di validazione del RUP</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di verifica svolti in contraddittorio con i progettisti</w:t>
            </w:r>
          </w:p>
        </w:tc>
      </w:tr>
      <w:tr w:rsidR="008B290D">
        <w:trPr>
          <w:trHeight w:val="1739"/>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determina/delibera a contrarre/di affidamento contiene le informazioni essenziali richieste dal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b/>
                <w:bCs/>
                <w:color w:val="000000"/>
                <w:sz w:val="20"/>
                <w:lang w:eastAsia="it-IT"/>
              </w:rPr>
            </w:pPr>
            <w:r>
              <w:rPr>
                <w:rFonts w:ascii="Garamond" w:eastAsia="Times New Roman" w:hAnsi="Garamond" w:cs="Times New Roman"/>
                <w:color w:val="000000"/>
                <w:sz w:val="20"/>
                <w:lang w:eastAsia="it-IT"/>
              </w:rPr>
              <w:t xml:space="preserve">Per l’effettuazione della specifica verifica si rimanda all’art. 32 d. </w:t>
            </w:r>
            <w:proofErr w:type="spellStart"/>
            <w:r>
              <w:rPr>
                <w:rFonts w:ascii="Garamond" w:eastAsia="Times New Roman" w:hAnsi="Garamond" w:cs="Times New Roman"/>
                <w:color w:val="000000"/>
                <w:sz w:val="20"/>
                <w:lang w:eastAsia="it-IT"/>
              </w:rPr>
              <w:t>lgs</w:t>
            </w:r>
            <w:proofErr w:type="spellEnd"/>
            <w:r>
              <w:rPr>
                <w:rFonts w:ascii="Garamond" w:eastAsia="Times New Roman" w:hAnsi="Garamond" w:cs="Times New Roman"/>
                <w:color w:val="000000"/>
                <w:sz w:val="20"/>
                <w:lang w:eastAsia="it-IT"/>
              </w:rPr>
              <w:t xml:space="preserve">. n. 50/2016. </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b/>
                <w:bCs/>
                <w:color w:val="000000"/>
                <w:sz w:val="20"/>
                <w:lang w:eastAsia="it-IT"/>
              </w:rPr>
              <w:t>•</w:t>
            </w:r>
            <w:r>
              <w:rPr>
                <w:rFonts w:ascii="Garamond" w:eastAsia="Times New Roman" w:hAnsi="Garamond" w:cs="Times New Roman"/>
                <w:color w:val="000000"/>
                <w:sz w:val="20"/>
                <w:lang w:eastAsia="it-IT"/>
              </w:rPr>
              <w:t>Determina a contrarre o atto analogo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 (se approvata dalla determina)</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•Dimostrazione dell’avvenuta pubblicazione ai sensi dell'art. 29 d.lgs. n. 50/2016</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valore stimato dell'appalto (lavori/servizi/ forniture) ai fini della scelta della procedura di affidamento: </w:t>
            </w:r>
          </w:p>
          <w:p w:rsidR="008B290D" w:rsidRDefault="003232A3">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basato sull'importo totale pagabile, al netto dell’I.V.A.?</w:t>
            </w:r>
            <w:r>
              <w:rPr>
                <w:rFonts w:ascii="Garamond" w:eastAsia="Times New Roman" w:hAnsi="Garamond" w:cs="Times New Roman"/>
                <w:color w:val="000000"/>
                <w:lang w:eastAsia="it-IT"/>
              </w:rPr>
              <w:tab/>
            </w:r>
          </w:p>
          <w:p w:rsidR="008B290D" w:rsidRDefault="003232A3">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comprensivo di qualsiasi forma di opzione e/o rinnovo del contratto?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8B290D">
            <w:pPr>
              <w:spacing w:after="0" w:line="240" w:lineRule="auto"/>
              <w:rPr>
                <w:rFonts w:ascii="Garamond" w:eastAsia="Times New Roman" w:hAnsi="Garamond" w:cs="Times New Roman"/>
                <w:color w:val="000000"/>
                <w:lang w:eastAsia="it-IT"/>
              </w:rPr>
            </w:pP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affidamento diretto</w:t>
            </w:r>
            <w:r>
              <w:rPr>
                <w:rFonts w:ascii="Garamond" w:eastAsia="Times New Roman" w:hAnsi="Garamond" w:cs="Times New Roman"/>
                <w:color w:val="000000"/>
                <w:lang w:eastAsia="it-IT"/>
              </w:rPr>
              <w:t>, lo stesso risulta adeguatamente motivato?</w:t>
            </w: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L’affidamento è avvenuto nel rispetto dei principi generali del codice quali rotazione, economicità, </w:t>
            </w:r>
            <w:r>
              <w:rPr>
                <w:rFonts w:ascii="Garamond" w:eastAsia="Times New Roman" w:hAnsi="Garamond" w:cs="Times New Roman"/>
                <w:color w:val="000000"/>
                <w:lang w:eastAsia="it-IT"/>
              </w:rPr>
              <w:lastRenderedPageBreak/>
              <w:t>efficacia, tempestività, correttezza, libera concorrenza, non discriminazione e parità di trattamento, trasparenza e pubblicità, proporzionalità, nonché dei criteri di sostenibilità energetica e ambientale?</w:t>
            </w: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affidamenti diretti previa valutazione di preventivi</w:t>
            </w:r>
            <w:r>
              <w:rPr>
                <w:rFonts w:ascii="Garamond" w:eastAsia="Times New Roman" w:hAnsi="Garamond" w:cs="Times New Roman"/>
                <w:color w:val="000000"/>
                <w:lang w:eastAsia="it-IT"/>
              </w:rPr>
              <w:t xml:space="preserve"> (art. 36, comma 2, </w:t>
            </w:r>
            <w:proofErr w:type="spellStart"/>
            <w:r>
              <w:rPr>
                <w:rFonts w:ascii="Garamond" w:eastAsia="Times New Roman" w:hAnsi="Garamond" w:cs="Times New Roman"/>
                <w:color w:val="000000"/>
                <w:lang w:eastAsia="it-IT"/>
              </w:rPr>
              <w:t>lett</w:t>
            </w:r>
            <w:proofErr w:type="spellEnd"/>
            <w:r>
              <w:rPr>
                <w:rFonts w:ascii="Garamond" w:eastAsia="Times New Roman" w:hAnsi="Garamond" w:cs="Times New Roman"/>
                <w:color w:val="000000"/>
                <w:lang w:eastAsia="it-IT"/>
              </w:rPr>
              <w:t>. b), del d.lgs. n. 50/2016), l’invito è stato trasmesso ad almeno 3 operatori, per i lavori, e 5 operatori, per servizi e forniture (se presenti data la natura dell’aggiudicazione) nel rispetto del principio di rotazione dei medesimi?</w:t>
            </w: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10</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affidamenti mediante </w:t>
            </w:r>
            <w:r>
              <w:rPr>
                <w:rFonts w:ascii="Garamond" w:eastAsia="Times New Roman" w:hAnsi="Garamond" w:cs="Times New Roman"/>
                <w:b/>
                <w:color w:val="000000"/>
                <w:lang w:eastAsia="it-IT"/>
              </w:rPr>
              <w:t>procedura negoziata senza pubblicazione del bando (ex art. 63 del d.lgs. n. 50/2016)</w:t>
            </w:r>
            <w:r>
              <w:rPr>
                <w:rFonts w:ascii="Garamond" w:eastAsia="Times New Roman" w:hAnsi="Garamond" w:cs="Times New Roman"/>
                <w:color w:val="000000"/>
                <w:lang w:eastAsia="it-IT"/>
              </w:rPr>
              <w:t>, l’invito degli operatori è stato fatto nel rispetto delle norme vigenti e del principio di rotazione dei fornitori?</w:t>
            </w: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 avviso/ecc.) riporta il riferimento esplicito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•Determina a contrarre o atto analogo</w:t>
            </w:r>
          </w:p>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•Bando </w:t>
            </w:r>
          </w:p>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•Capitolato</w:t>
            </w:r>
          </w:p>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riconducibilità nel caso di progetti in essere</w:t>
            </w:r>
          </w:p>
        </w:tc>
      </w:tr>
      <w:tr w:rsidR="008B290D">
        <w:trPr>
          <w:trHeight w:val="131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CIG e il CUP e sono stati riportati nella documentazione relativa all’affidamento?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•CIG</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•CUP</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Scheda CUP</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•CUP</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specificati:</w:t>
            </w:r>
          </w:p>
          <w:p w:rsidR="008B290D" w:rsidRDefault="003232A3">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descrizione esaustiva dell’oggetto del contratto/appalto?</w:t>
            </w:r>
          </w:p>
          <w:p w:rsidR="008B290D" w:rsidRDefault="003232A3">
            <w:pPr>
              <w:pStyle w:val="Paragrafoelenco"/>
              <w:numPr>
                <w:ilvl w:val="0"/>
                <w:numId w:val="7"/>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criteri di selezione degli operatori economici? </w:t>
            </w:r>
          </w:p>
          <w:p w:rsidR="008B290D" w:rsidRDefault="003232A3">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aggiudicazione?</w:t>
            </w:r>
          </w:p>
          <w:p w:rsidR="008B290D" w:rsidRDefault="003232A3">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valutazione e la relativa ponderazione?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criteri di selezione riguardano esclusivamente:</w:t>
            </w:r>
          </w:p>
          <w:p w:rsidR="008B290D" w:rsidRDefault="003232A3">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requisiti d’idoneità professionale?</w:t>
            </w:r>
          </w:p>
          <w:p w:rsidR="008B290D" w:rsidRDefault="003232A3">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capacità economica e finanziaria?</w:t>
            </w:r>
          </w:p>
          <w:p w:rsidR="008B290D" w:rsidRDefault="003232A3">
            <w:pPr>
              <w:pStyle w:val="Paragrafoelenco"/>
              <w:numPr>
                <w:ilvl w:val="0"/>
                <w:numId w:val="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capacità tecniche e professionali?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8B290D" w:rsidRDefault="003232A3">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Se l’appalto è suddiviso in lotti funzionali o prestazionali, per la definizione delle soglie è stato computato il valore complessivo stimato della totalità di tali lotti ai sensi dell’art. 35, comma 9, del d.lgs. n. 50/2016?</w:t>
            </w: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dato evidenza delle ragioni oggettive che lo giustificano?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17</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costi della sicurezza sono stati scorporati dal costo dell’importo assoggettato a ribasso (art. 23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18</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(bando/lettera d’invito/Capitolato speciale d’appalto) è prevista:</w:t>
            </w:r>
          </w:p>
          <w:p w:rsidR="008B290D" w:rsidRDefault="003232A3">
            <w:pPr>
              <w:pStyle w:val="Paragrafoelenco"/>
              <w:numPr>
                <w:ilvl w:val="0"/>
                <w:numId w:val="5"/>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modifiche/varianti ai sensi dell’art. 106 del codice die contratti?</w:t>
            </w:r>
          </w:p>
          <w:p w:rsidR="008B290D" w:rsidRDefault="003232A3">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subappalto?</w:t>
            </w:r>
          </w:p>
          <w:p w:rsidR="008B290D" w:rsidRDefault="003232A3">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avvalimento?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w:t>
            </w:r>
            <w:proofErr w:type="spellStart"/>
            <w:r>
              <w:rPr>
                <w:rFonts w:ascii="Garamond" w:eastAsia="Times New Roman" w:hAnsi="Garamond" w:cs="Times New Roman"/>
                <w:color w:val="000000"/>
                <w:lang w:eastAsia="it-IT"/>
              </w:rPr>
              <w:t>lgs</w:t>
            </w:r>
            <w:proofErr w:type="spellEnd"/>
            <w:r>
              <w:rPr>
                <w:rFonts w:ascii="Garamond" w:eastAsia="Times New Roman" w:hAnsi="Garamond" w:cs="Times New Roman"/>
                <w:color w:val="000000"/>
                <w:lang w:eastAsia="it-IT"/>
              </w:rPr>
              <w:t>.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•Invito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tc>
      </w:tr>
      <w:tr w:rsidR="008B290D">
        <w:trPr>
          <w:trHeight w:val="182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w:t>
            </w:r>
            <w:proofErr w:type="spellStart"/>
            <w:r>
              <w:rPr>
                <w:rFonts w:ascii="Garamond" w:eastAsia="Times New Roman" w:hAnsi="Garamond" w:cs="Times New Roman"/>
                <w:color w:val="000000"/>
                <w:lang w:eastAsia="it-IT"/>
              </w:rPr>
              <w:t>lgs</w:t>
            </w:r>
            <w:proofErr w:type="spellEnd"/>
            <w:r>
              <w:rPr>
                <w:rFonts w:ascii="Garamond" w:eastAsia="Times New Roman" w:hAnsi="Garamond" w:cs="Times New Roman"/>
                <w:color w:val="000000"/>
                <w:lang w:eastAsia="it-IT"/>
              </w:rPr>
              <w:t>. n. 50/2016)?</w:t>
            </w:r>
          </w:p>
          <w:p w:rsidR="008B290D" w:rsidRDefault="008B290D">
            <w:pPr>
              <w:spacing w:after="0" w:line="240" w:lineRule="auto"/>
              <w:rPr>
                <w:rFonts w:ascii="Garamond" w:eastAsia="Times New Roman" w:hAnsi="Garamond" w:cs="Times New Roman"/>
                <w:color w:val="000000"/>
                <w:lang w:eastAsia="it-IT"/>
              </w:rPr>
            </w:pPr>
          </w:p>
          <w:p w:rsidR="008B290D" w:rsidRDefault="003232A3">
            <w:pPr>
              <w:spacing w:after="0" w:line="240" w:lineRule="auto"/>
              <w:jc w:val="both"/>
              <w:rPr>
                <w:rFonts w:ascii="Garamond" w:eastAsia="Times New Roman" w:hAnsi="Garamond" w:cs="Times New Roman"/>
                <w:i/>
                <w:color w:val="000000"/>
                <w:lang w:eastAsia="it-IT"/>
              </w:rPr>
            </w:pPr>
            <w:r>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 (Parere MIMS n. 1300/2022)</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del committente nella</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Sezione Amministrazione Trasparente</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ANAC</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rispettato quanto previsto dagli artt. 72 e 73 del d.l.gs n. 50/2016, dal D.M. del 02/12/2016, e dall’art. 1, comma 2, del D.L. n. 76/2020 e </w:t>
            </w:r>
            <w:proofErr w:type="spellStart"/>
            <w:r>
              <w:rPr>
                <w:rFonts w:ascii="Garamond" w:eastAsia="Times New Roman" w:hAnsi="Garamond" w:cs="Times New Roman"/>
                <w:color w:val="000000"/>
                <w:lang w:eastAsia="it-IT"/>
              </w:rPr>
              <w:t>ss.mm.ii</w:t>
            </w:r>
            <w:proofErr w:type="spellEnd"/>
            <w:r>
              <w:rPr>
                <w:rFonts w:ascii="Garamond" w:eastAsia="Times New Roman" w:hAnsi="Garamond" w:cs="Times New Roman"/>
                <w:color w:val="000000"/>
                <w:lang w:eastAsia="it-IT"/>
              </w:rPr>
              <w:t xml:space="preserve"> ovvero dall’art. 36, comma 9, del d.lgs. n. 50/2016, in materia di pubblicazione degli avvisi e dei bandi di gara?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•GUUE</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•Estremi GURI</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•Copie delle pubblicazioni sui Quotidiani </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di collegamento ai siti informatici</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 concorrenti hanno presentato il Documento di Gara Unico Europeo (DGUE) ai sensi dell’art. 85 d.lgs. n. 50/2016 in formato elettronico?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8B290D">
        <w:trPr>
          <w:trHeight w:val="680"/>
        </w:trPr>
        <w:tc>
          <w:tcPr>
            <w:tcW w:w="67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B290D" w:rsidRDefault="003232A3">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w:t>
            </w:r>
          </w:p>
        </w:tc>
        <w:tc>
          <w:tcPr>
            <w:tcW w:w="10835"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Affidamenti in </w:t>
            </w:r>
            <w:proofErr w:type="spellStart"/>
            <w:r>
              <w:rPr>
                <w:rFonts w:ascii="Garamond" w:eastAsia="Times New Roman" w:hAnsi="Garamond" w:cs="Times New Roman"/>
                <w:b/>
                <w:bCs/>
                <w:color w:val="000000"/>
                <w:lang w:eastAsia="it-IT"/>
              </w:rPr>
              <w:t>house</w:t>
            </w:r>
            <w:proofErr w:type="spellEnd"/>
          </w:p>
        </w:tc>
        <w:tc>
          <w:tcPr>
            <w:tcW w:w="277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B290D" w:rsidRDefault="008B290D">
            <w:pPr>
              <w:spacing w:after="0" w:line="240" w:lineRule="auto"/>
              <w:rPr>
                <w:rFonts w:ascii="Garamond" w:eastAsia="Times New Roman" w:hAnsi="Garamond" w:cs="Times New Roman"/>
                <w:b/>
                <w:bCs/>
                <w:lang w:eastAsia="it-IT"/>
              </w:rPr>
            </w:pPr>
          </w:p>
          <w:p w:rsidR="008B290D" w:rsidRDefault="008B290D">
            <w:pPr>
              <w:spacing w:after="0" w:line="240" w:lineRule="auto"/>
              <w:rPr>
                <w:rFonts w:ascii="Garamond" w:eastAsia="Times New Roman" w:hAnsi="Garamond" w:cs="Times New Roman"/>
                <w:b/>
                <w:bCs/>
                <w:lang w:eastAsia="it-IT"/>
              </w:rPr>
            </w:pP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 xml:space="preserve">in </w:t>
            </w:r>
            <w:proofErr w:type="spellStart"/>
            <w:r>
              <w:rPr>
                <w:rFonts w:ascii="Garamond" w:eastAsia="Times New Roman" w:hAnsi="Garamond" w:cs="Times New Roman"/>
                <w:i/>
                <w:iCs/>
                <w:color w:val="000000"/>
                <w:lang w:eastAsia="it-IT"/>
              </w:rPr>
              <w:t>house</w:t>
            </w:r>
            <w:proofErr w:type="spellEnd"/>
            <w:r>
              <w:rPr>
                <w:rFonts w:ascii="Garamond" w:eastAsia="Times New Roman" w:hAnsi="Garamond" w:cs="Times New Roman"/>
                <w:color w:val="000000"/>
                <w:lang w:eastAsia="it-IT"/>
              </w:rPr>
              <w:t>, sono soddisfatte tutte le condizioni di cui all’art. 5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 xml:space="preserve">in </w:t>
            </w:r>
            <w:proofErr w:type="spellStart"/>
            <w:r>
              <w:rPr>
                <w:rFonts w:ascii="Garamond" w:eastAsia="Times New Roman" w:hAnsi="Garamond" w:cs="Times New Roman"/>
                <w:b/>
                <w:bCs/>
                <w:i/>
                <w:iCs/>
                <w:color w:val="000000"/>
                <w:lang w:eastAsia="it-IT"/>
              </w:rPr>
              <w:t>house</w:t>
            </w:r>
            <w:proofErr w:type="spellEnd"/>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Statuto ente in </w:t>
            </w:r>
            <w:proofErr w:type="spellStart"/>
            <w:r>
              <w:rPr>
                <w:rFonts w:ascii="Garamond" w:eastAsia="Times New Roman" w:hAnsi="Garamond" w:cs="Times New Roman"/>
                <w:color w:val="000000"/>
                <w:sz w:val="20"/>
                <w:lang w:eastAsia="it-IT"/>
              </w:rPr>
              <w:t>house</w:t>
            </w:r>
            <w:proofErr w:type="spellEnd"/>
            <w:r>
              <w:rPr>
                <w:rFonts w:ascii="Garamond" w:eastAsia="Times New Roman" w:hAnsi="Garamond" w:cs="Times New Roman"/>
                <w:color w:val="000000"/>
                <w:sz w:val="20"/>
                <w:lang w:eastAsia="it-IT"/>
              </w:rPr>
              <w:t xml:space="preserve">; atto formale di riconoscimento della natura di </w:t>
            </w:r>
            <w:r>
              <w:rPr>
                <w:rFonts w:ascii="Garamond" w:eastAsia="Times New Roman" w:hAnsi="Garamond" w:cs="Times New Roman"/>
                <w:i/>
                <w:iCs/>
                <w:color w:val="000000"/>
                <w:sz w:val="20"/>
                <w:lang w:eastAsia="it-IT"/>
              </w:rPr>
              <w:t xml:space="preserve">in </w:t>
            </w:r>
            <w:proofErr w:type="spellStart"/>
            <w:r>
              <w:rPr>
                <w:rFonts w:ascii="Garamond" w:eastAsia="Times New Roman" w:hAnsi="Garamond" w:cs="Times New Roman"/>
                <w:i/>
                <w:iCs/>
                <w:color w:val="000000"/>
                <w:sz w:val="20"/>
                <w:lang w:eastAsia="it-IT"/>
              </w:rPr>
              <w:t>house</w:t>
            </w:r>
            <w:proofErr w:type="spellEnd"/>
            <w:r>
              <w:rPr>
                <w:rFonts w:ascii="Garamond" w:eastAsia="Times New Roman" w:hAnsi="Garamond" w:cs="Times New Roman"/>
                <w:i/>
                <w:iCs/>
                <w:color w:val="000000"/>
                <w:sz w:val="20"/>
                <w:lang w:eastAsia="it-IT"/>
              </w:rPr>
              <w:t xml:space="preserve"> </w:t>
            </w:r>
            <w:proofErr w:type="spellStart"/>
            <w:r>
              <w:rPr>
                <w:rFonts w:ascii="Garamond" w:eastAsia="Times New Roman" w:hAnsi="Garamond" w:cs="Times New Roman"/>
                <w:i/>
                <w:iCs/>
                <w:color w:val="000000"/>
                <w:sz w:val="20"/>
                <w:lang w:eastAsia="it-IT"/>
              </w:rPr>
              <w:t>providing</w:t>
            </w:r>
            <w:proofErr w:type="spellEnd"/>
            <w:r>
              <w:rPr>
                <w:rFonts w:ascii="Garamond" w:eastAsia="Times New Roman" w:hAnsi="Garamond" w:cs="Times New Roman"/>
                <w:i/>
                <w:iCs/>
                <w:color w:val="000000"/>
                <w:sz w:val="20"/>
                <w:lang w:eastAsia="it-IT"/>
              </w:rPr>
              <w:t xml:space="preserve"> </w:t>
            </w:r>
            <w:r>
              <w:rPr>
                <w:rFonts w:ascii="Garamond" w:eastAsia="Times New Roman" w:hAnsi="Garamond" w:cs="Times New Roman"/>
                <w:color w:val="000000"/>
                <w:sz w:val="20"/>
                <w:lang w:eastAsia="it-IT"/>
              </w:rPr>
              <w:t>dell’ente</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 xml:space="preserve">in </w:t>
            </w:r>
            <w:proofErr w:type="spellStart"/>
            <w:r>
              <w:rPr>
                <w:rFonts w:ascii="Garamond" w:eastAsia="Times New Roman" w:hAnsi="Garamond" w:cs="Times New Roman"/>
                <w:i/>
                <w:iCs/>
                <w:color w:val="000000"/>
                <w:lang w:eastAsia="it-IT"/>
              </w:rPr>
              <w:t>house</w:t>
            </w:r>
            <w:proofErr w:type="spellEnd"/>
            <w:r>
              <w:rPr>
                <w:rFonts w:ascii="Garamond" w:eastAsia="Times New Roman" w:hAnsi="Garamond" w:cs="Times New Roman"/>
                <w:color w:val="000000"/>
                <w:lang w:eastAsia="it-IT"/>
              </w:rPr>
              <w:t xml:space="preserve"> è stata preventivamente effettuata una valutazione della congruità economica dei prezzi del soggetto in </w:t>
            </w:r>
            <w:proofErr w:type="spellStart"/>
            <w:r>
              <w:rPr>
                <w:rFonts w:ascii="Garamond" w:eastAsia="Times New Roman" w:hAnsi="Garamond" w:cs="Times New Roman"/>
                <w:color w:val="000000"/>
                <w:lang w:eastAsia="it-IT"/>
              </w:rPr>
              <w:t>house</w:t>
            </w:r>
            <w:proofErr w:type="spellEnd"/>
            <w:r>
              <w:rPr>
                <w:rFonts w:ascii="Garamond" w:eastAsia="Times New Roman" w:hAnsi="Garamond" w:cs="Times New Roman"/>
                <w:color w:val="000000"/>
                <w:lang w:eastAsia="it-IT"/>
              </w:rPr>
              <w:t>, in relazione all’oggetto e al valore della prestazione (art. 192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 xml:space="preserve">in </w:t>
            </w:r>
            <w:proofErr w:type="spellStart"/>
            <w:r>
              <w:rPr>
                <w:rFonts w:ascii="Garamond" w:eastAsia="Times New Roman" w:hAnsi="Garamond" w:cs="Times New Roman"/>
                <w:b/>
                <w:bCs/>
                <w:i/>
                <w:iCs/>
                <w:color w:val="000000"/>
                <w:lang w:eastAsia="it-IT"/>
              </w:rPr>
              <w:t>house</w:t>
            </w:r>
            <w:proofErr w:type="spellEnd"/>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Atto/rapporto recante la valutazione di congruità economica</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prima di procedere all'affidamento con modalità “in </w:t>
            </w:r>
            <w:proofErr w:type="spellStart"/>
            <w:r>
              <w:rPr>
                <w:rFonts w:ascii="Garamond" w:eastAsia="Times New Roman" w:hAnsi="Garamond" w:cs="Times New Roman"/>
                <w:color w:val="000000"/>
                <w:lang w:eastAsia="it-IT"/>
              </w:rPr>
              <w:t>house</w:t>
            </w:r>
            <w:proofErr w:type="spellEnd"/>
            <w:r>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w:t>
            </w:r>
            <w:proofErr w:type="spellStart"/>
            <w:r>
              <w:rPr>
                <w:rFonts w:ascii="Garamond" w:eastAsia="Times New Roman" w:hAnsi="Garamond" w:cs="Times New Roman"/>
                <w:color w:val="000000"/>
                <w:lang w:eastAsia="it-IT"/>
              </w:rPr>
              <w:t>house</w:t>
            </w:r>
            <w:proofErr w:type="spellEnd"/>
            <w:r>
              <w:rPr>
                <w:rFonts w:ascii="Garamond" w:eastAsia="Times New Roman" w:hAnsi="Garamond" w:cs="Times New Roman"/>
                <w:color w:val="000000"/>
                <w:lang w:eastAsia="it-IT"/>
              </w:rPr>
              <w:t>”, avendo riguardo all’oggetto e al valore della prestazione?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 xml:space="preserve">in </w:t>
            </w:r>
            <w:proofErr w:type="spellStart"/>
            <w:r>
              <w:rPr>
                <w:rFonts w:ascii="Garamond" w:eastAsia="Times New Roman" w:hAnsi="Garamond" w:cs="Times New Roman"/>
                <w:b/>
                <w:bCs/>
                <w:i/>
                <w:iCs/>
                <w:color w:val="000000"/>
                <w:lang w:eastAsia="it-IT"/>
              </w:rPr>
              <w:t>house</w:t>
            </w:r>
            <w:proofErr w:type="spellEnd"/>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Provvedimento di affidamento e documentazione attestante la verifica di congruità tecnica ed economica dell'offerta presentata dall'ente in </w:t>
            </w:r>
            <w:proofErr w:type="spellStart"/>
            <w:r>
              <w:rPr>
                <w:rFonts w:ascii="Garamond" w:eastAsia="Times New Roman" w:hAnsi="Garamond" w:cs="Times New Roman"/>
                <w:color w:val="000000"/>
                <w:sz w:val="20"/>
                <w:lang w:eastAsia="it-IT"/>
              </w:rPr>
              <w:t>house</w:t>
            </w:r>
            <w:proofErr w:type="spellEnd"/>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provvedimento di affidamento </w:t>
            </w:r>
            <w:r>
              <w:rPr>
                <w:rFonts w:ascii="Garamond" w:eastAsia="Times New Roman" w:hAnsi="Garamond" w:cs="Times New Roman"/>
                <w:i/>
                <w:iCs/>
                <w:color w:val="000000"/>
                <w:lang w:eastAsia="it-IT"/>
              </w:rPr>
              <w:t xml:space="preserve">in </w:t>
            </w:r>
            <w:proofErr w:type="spellStart"/>
            <w:r>
              <w:rPr>
                <w:rFonts w:ascii="Garamond" w:eastAsia="Times New Roman" w:hAnsi="Garamond" w:cs="Times New Roman"/>
                <w:i/>
                <w:iCs/>
                <w:color w:val="000000"/>
                <w:lang w:eastAsia="it-IT"/>
              </w:rPr>
              <w:t>house</w:t>
            </w:r>
            <w:proofErr w:type="spellEnd"/>
            <w:r>
              <w:rPr>
                <w:rFonts w:ascii="Garamond" w:eastAsia="Times New Roman" w:hAnsi="Garamond" w:cs="Times New Roman"/>
                <w:color w:val="000000"/>
                <w:lang w:eastAsia="it-IT"/>
              </w:rPr>
              <w:t xml:space="preserve"> contiene le motivazioni del mancato ricorso al mercato? </w:t>
            </w: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adeguatamente motivate le ragioni dell’affidamento </w:t>
            </w:r>
            <w:r>
              <w:rPr>
                <w:rFonts w:ascii="Garamond" w:eastAsia="Times New Roman" w:hAnsi="Garamond" w:cs="Times New Roman"/>
                <w:i/>
                <w:iCs/>
                <w:color w:val="000000"/>
                <w:lang w:eastAsia="it-IT"/>
              </w:rPr>
              <w:t xml:space="preserve">in </w:t>
            </w:r>
            <w:proofErr w:type="spellStart"/>
            <w:r>
              <w:rPr>
                <w:rFonts w:ascii="Garamond" w:eastAsia="Times New Roman" w:hAnsi="Garamond" w:cs="Times New Roman"/>
                <w:i/>
                <w:iCs/>
                <w:color w:val="000000"/>
                <w:lang w:eastAsia="it-IT"/>
              </w:rPr>
              <w:t>house</w:t>
            </w:r>
            <w:proofErr w:type="spellEnd"/>
            <w:r>
              <w:rPr>
                <w:rFonts w:ascii="Garamond" w:eastAsia="Times New Roman" w:hAnsi="Garamond" w:cs="Times New Roman"/>
                <w:i/>
                <w:iCs/>
                <w:color w:val="000000"/>
                <w:lang w:eastAsia="it-IT"/>
              </w:rPr>
              <w:t xml:space="preserve"> </w:t>
            </w:r>
            <w:r>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 xml:space="preserve">in </w:t>
            </w:r>
            <w:proofErr w:type="spellStart"/>
            <w:r>
              <w:rPr>
                <w:rFonts w:ascii="Garamond" w:eastAsia="Times New Roman" w:hAnsi="Garamond" w:cs="Times New Roman"/>
                <w:b/>
                <w:bCs/>
                <w:i/>
                <w:iCs/>
                <w:color w:val="000000"/>
                <w:lang w:eastAsia="it-IT"/>
              </w:rPr>
              <w:t>house</w:t>
            </w:r>
            <w:proofErr w:type="spellEnd"/>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affidamento del servizio/contratto</w:t>
            </w:r>
          </w:p>
        </w:tc>
      </w:tr>
      <w:tr w:rsidR="008B290D">
        <w:trPr>
          <w:trHeight w:val="680"/>
        </w:trPr>
        <w:tc>
          <w:tcPr>
            <w:tcW w:w="67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B290D" w:rsidRDefault="003232A3">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w:t>
            </w:r>
          </w:p>
        </w:tc>
        <w:tc>
          <w:tcPr>
            <w:tcW w:w="10835"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Verifica del rispetto della normativa appalti: commissione di gara e aggiudicazione</w:t>
            </w:r>
          </w:p>
        </w:tc>
        <w:tc>
          <w:tcPr>
            <w:tcW w:w="277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B290D" w:rsidRDefault="008B290D">
            <w:pPr>
              <w:spacing w:after="0" w:line="240" w:lineRule="auto"/>
              <w:rPr>
                <w:rFonts w:ascii="Garamond" w:eastAsia="Times New Roman" w:hAnsi="Garamond" w:cs="Times New Roman"/>
                <w:b/>
                <w:bCs/>
                <w:lang w:eastAsia="it-IT"/>
              </w:rPr>
            </w:pPr>
          </w:p>
          <w:p w:rsidR="008B290D" w:rsidRDefault="008B290D">
            <w:pPr>
              <w:spacing w:after="0" w:line="240" w:lineRule="auto"/>
              <w:rPr>
                <w:rFonts w:ascii="Garamond" w:eastAsia="Times New Roman" w:hAnsi="Garamond" w:cs="Times New Roman"/>
                <w:b/>
                <w:bCs/>
                <w:lang w:eastAsia="it-IT"/>
              </w:rPr>
            </w:pP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rispettate le norme previste dall’art. 77 del d.lgs. n. 50/2016 in relazione alla costituzione della Commissione giudicatrice?</w:t>
            </w:r>
          </w:p>
          <w:p w:rsidR="008B290D" w:rsidRDefault="008B290D">
            <w:pPr>
              <w:spacing w:after="0" w:line="240" w:lineRule="auto"/>
              <w:jc w:val="both"/>
              <w:rPr>
                <w:rFonts w:ascii="Garamond" w:eastAsia="Times New Roman" w:hAnsi="Garamond" w:cs="Times New Roman"/>
                <w:color w:val="000000"/>
                <w:lang w:eastAsia="it-IT"/>
              </w:rPr>
            </w:pP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e altra documentazione di gara</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•Eventuale regolamento interno alla stazione appaltante </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ANAC n. 5</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lang w:eastAsia="it-IT"/>
              </w:rPr>
            </w:pPr>
            <w:r>
              <w:rPr>
                <w:rFonts w:ascii="Garamond" w:eastAsia="Times New Roman" w:hAnsi="Garamond" w:cs="Times New Roman"/>
                <w:lang w:eastAsia="it-IT"/>
              </w:rPr>
              <w:t>Nella nomina dei commissari, sono state rispettate le ulteriori clausole di incompatibilità previste ai commi 4, 5, 6 e 9 dell’art. 77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•Dichiarazioni di insussistenza di cause di incompatibilità </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lang w:eastAsia="it-IT"/>
              </w:rPr>
            </w:pPr>
            <w:r>
              <w:rPr>
                <w:rFonts w:ascii="Garamond" w:eastAsia="Times New Roman" w:hAnsi="Garamond" w:cs="Times New Roman"/>
                <w:lang w:eastAsia="it-IT"/>
              </w:rPr>
              <w:t>La scelta dei criteri di aggiudicazione dell’appalto è stata effettuata dalla Stazione Appaltante in conformità con le disposizioni previste dall'art. 95 del d.lgs. n. 50/2016, commi 2, 3, 6 e 7?</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8B290D">
        <w:trPr>
          <w:trHeight w:val="84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nomina e la costituzione della Commissione sono avvenute successivamente alla scadenza dei termini fissati per la presentazione delle offerte (art. 77, comma 7, d. </w:t>
            </w:r>
            <w:proofErr w:type="spellStart"/>
            <w:r>
              <w:rPr>
                <w:rFonts w:ascii="Garamond" w:eastAsia="Times New Roman" w:hAnsi="Garamond" w:cs="Times New Roman"/>
                <w:color w:val="000000"/>
                <w:lang w:eastAsia="it-IT"/>
              </w:rPr>
              <w:t>lgs</w:t>
            </w:r>
            <w:proofErr w:type="spellEnd"/>
            <w:r>
              <w:rPr>
                <w:rFonts w:ascii="Garamond" w:eastAsia="Times New Roman" w:hAnsi="Garamond" w:cs="Times New Roman"/>
                <w:color w:val="000000"/>
                <w:lang w:eastAsia="it-IT"/>
              </w:rPr>
              <w:t>.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8B290D">
            <w:pPr>
              <w:spacing w:after="0" w:line="240" w:lineRule="auto"/>
              <w:rPr>
                <w:rFonts w:ascii="Garamond" w:eastAsia="Times New Roman" w:hAnsi="Garamond" w:cs="Times New Roman"/>
                <w:color w:val="000000"/>
                <w:lang w:eastAsia="it-IT"/>
              </w:rPr>
            </w:pPr>
          </w:p>
        </w:tc>
      </w:tr>
      <w:tr w:rsidR="008B290D">
        <w:trPr>
          <w:trHeight w:val="84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w:t>
            </w:r>
            <w:proofErr w:type="spellStart"/>
            <w:r>
              <w:rPr>
                <w:rFonts w:ascii="Garamond" w:eastAsia="Times New Roman" w:hAnsi="Garamond" w:cs="Times New Roman"/>
                <w:color w:val="000000"/>
                <w:lang w:eastAsia="it-IT"/>
              </w:rPr>
              <w:t>fidejussoria</w:t>
            </w:r>
            <w:proofErr w:type="spellEnd"/>
            <w:r>
              <w:rPr>
                <w:rFonts w:ascii="Garamond" w:eastAsia="Times New Roman" w:hAnsi="Garamond" w:cs="Times New Roman"/>
                <w:color w:val="000000"/>
                <w:lang w:eastAsia="it-IT"/>
              </w:rPr>
              <w:t xml:space="preserve"> per l’esecuzione del contratto, nel pieno rispetto di quanto previsto all’art. 93 del d. </w:t>
            </w:r>
            <w:proofErr w:type="spellStart"/>
            <w:r>
              <w:rPr>
                <w:rFonts w:ascii="Garamond" w:eastAsia="Times New Roman" w:hAnsi="Garamond" w:cs="Times New Roman"/>
                <w:color w:val="000000"/>
                <w:lang w:eastAsia="it-IT"/>
              </w:rPr>
              <w:t>lgs</w:t>
            </w:r>
            <w:proofErr w:type="spellEnd"/>
            <w:r>
              <w:rPr>
                <w:rFonts w:ascii="Garamond" w:eastAsia="Times New Roman" w:hAnsi="Garamond" w:cs="Times New Roman"/>
                <w:color w:val="000000"/>
                <w:lang w:eastAsia="it-IT"/>
              </w:rPr>
              <w:t>.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Affidamento di cui all’articolo 36, comma 2, lettera a) relativamente al quale l’Amministrazione si è avvalsa della facoltà di non richiedere la garanzia (art. 93, comma 1, d. </w:t>
            </w:r>
            <w:proofErr w:type="spellStart"/>
            <w:r>
              <w:rPr>
                <w:rFonts w:ascii="Garamond" w:eastAsia="Times New Roman" w:hAnsi="Garamond" w:cs="Times New Roman"/>
                <w:b/>
                <w:bCs/>
                <w:color w:val="000000"/>
                <w:lang w:eastAsia="it-IT"/>
              </w:rPr>
              <w:t>lgs</w:t>
            </w:r>
            <w:proofErr w:type="spellEnd"/>
            <w:r>
              <w:rPr>
                <w:rFonts w:ascii="Garamond" w:eastAsia="Times New Roman" w:hAnsi="Garamond" w:cs="Times New Roman"/>
                <w:b/>
                <w:bCs/>
                <w:color w:val="000000"/>
                <w:lang w:eastAsia="it-IT"/>
              </w:rPr>
              <w:t>. n. 50/2016)</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8B290D">
            <w:pPr>
              <w:spacing w:after="0" w:line="240" w:lineRule="auto"/>
              <w:rPr>
                <w:rFonts w:ascii="Garamond" w:eastAsia="Times New Roman" w:hAnsi="Garamond" w:cs="Times New Roman"/>
                <w:color w:val="000000"/>
                <w:lang w:eastAsia="it-IT"/>
              </w:rPr>
            </w:pPr>
          </w:p>
        </w:tc>
      </w:tr>
      <w:tr w:rsidR="008B290D">
        <w:trPr>
          <w:trHeight w:val="84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 commi 4 e 5, del d.lgs. n. 50/2016?</w:t>
            </w: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valutazione del prezzo è conforme a quanto disposto dall’art. 95 del d. </w:t>
            </w:r>
            <w:proofErr w:type="spellStart"/>
            <w:r>
              <w:rPr>
                <w:rFonts w:ascii="Garamond" w:eastAsia="Times New Roman" w:hAnsi="Garamond" w:cs="Times New Roman"/>
                <w:color w:val="000000"/>
                <w:lang w:eastAsia="it-IT"/>
              </w:rPr>
              <w:t>lgs</w:t>
            </w:r>
            <w:proofErr w:type="spellEnd"/>
            <w:r>
              <w:rPr>
                <w:rFonts w:ascii="Garamond" w:eastAsia="Times New Roman" w:hAnsi="Garamond" w:cs="Times New Roman"/>
                <w:color w:val="000000"/>
                <w:lang w:eastAsia="it-IT"/>
              </w:rPr>
              <w:t>. n. 50/2016 (offerte inferiori a base di gara, non condizionate, non parziali, verifica eventuali calcoli composizione prezzo offerto)?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8B290D">
        <w:trPr>
          <w:trHeight w:val="84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8</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8B290D">
        <w:trPr>
          <w:trHeight w:val="84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8B290D">
        <w:trPr>
          <w:trHeight w:val="1226"/>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stati redatti i verbali delle operazioni di gara da parte del RUP e/o dalla Commissione giudicatrice?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8B290D">
        <w:trPr>
          <w:trHeight w:val="103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8B290D">
        <w:trPr>
          <w:trHeight w:val="98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con proposta di aggiudicazione</w:t>
            </w:r>
          </w:p>
        </w:tc>
      </w:tr>
      <w:tr w:rsidR="008B290D">
        <w:trPr>
          <w:trHeight w:val="97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hAnsi="Garamond"/>
              </w:rPr>
              <w:t xml:space="preserve">L’aggiudicazione è avvenuta sulla base dei criteri indicati nella documentazione di gara?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di aggiudicazione</w:t>
            </w:r>
          </w:p>
        </w:tc>
      </w:tr>
      <w:tr w:rsidR="008B290D">
        <w:trPr>
          <w:trHeight w:val="70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•Attestazione assenza ricorsi</w:t>
            </w:r>
          </w:p>
        </w:tc>
      </w:tr>
      <w:tr w:rsidR="008B290D">
        <w:trPr>
          <w:trHeight w:val="680"/>
        </w:trPr>
        <w:tc>
          <w:tcPr>
            <w:tcW w:w="67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B290D" w:rsidRDefault="003232A3">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F</w:t>
            </w:r>
          </w:p>
        </w:tc>
        <w:tc>
          <w:tcPr>
            <w:tcW w:w="10835"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8B290D" w:rsidRDefault="003232A3">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277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B290D" w:rsidRDefault="008B290D">
            <w:pPr>
              <w:spacing w:after="0" w:line="240" w:lineRule="auto"/>
              <w:rPr>
                <w:rFonts w:ascii="Garamond" w:eastAsia="Times New Roman" w:hAnsi="Garamond" w:cs="Times New Roman"/>
                <w:b/>
                <w:bCs/>
                <w:lang w:eastAsia="it-IT"/>
              </w:rPr>
            </w:pP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8B290D">
        <w:trPr>
          <w:trHeight w:val="103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n. 50/2016?</w:t>
            </w:r>
          </w:p>
          <w:p w:rsidR="008B290D" w:rsidRDefault="008B290D">
            <w:pPr>
              <w:spacing w:after="0" w:line="240" w:lineRule="auto"/>
              <w:jc w:val="both"/>
              <w:rPr>
                <w:rFonts w:ascii="Garamond" w:eastAsia="Times New Roman" w:hAnsi="Garamond" w:cs="Times New Roman"/>
                <w:color w:val="000000"/>
                <w:lang w:eastAsia="it-IT"/>
              </w:rPr>
            </w:pP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8B290D">
        <w:trPr>
          <w:trHeight w:val="117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 32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8B290D">
        <w:trPr>
          <w:trHeight w:val="83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rsidR="008B290D" w:rsidRDefault="008B290D">
            <w:pPr>
              <w:spacing w:after="0" w:line="240" w:lineRule="auto"/>
              <w:jc w:val="both"/>
              <w:rPr>
                <w:rFonts w:ascii="Garamond" w:eastAsia="Times New Roman" w:hAnsi="Garamond" w:cs="Times New Roman"/>
                <w:color w:val="000000"/>
                <w:lang w:eastAsia="it-IT"/>
              </w:rPr>
            </w:pP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8B290D">
        <w:trPr>
          <w:trHeight w:val="83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contratto di appalto di importo pari o superiore alle soglie comunitarie di cui all’art. 35 del d. </w:t>
            </w:r>
            <w:proofErr w:type="spellStart"/>
            <w:r>
              <w:rPr>
                <w:rFonts w:ascii="Garamond" w:eastAsia="Times New Roman" w:hAnsi="Garamond" w:cs="Times New Roman"/>
                <w:color w:val="000000"/>
                <w:lang w:eastAsia="it-IT"/>
              </w:rPr>
              <w:t>lgs</w:t>
            </w:r>
            <w:proofErr w:type="spellEnd"/>
            <w:r>
              <w:rPr>
                <w:rFonts w:ascii="Garamond" w:eastAsia="Times New Roman" w:hAnsi="Garamond" w:cs="Times New Roman"/>
                <w:color w:val="000000"/>
                <w:lang w:eastAsia="it-IT"/>
              </w:rPr>
              <w:t>. n. 50/2016 è stato stipulato dopo aver acquisito l’informativa antimafia di cui agli artt. 84, comma 3, 90 e 91, d.lgs. n. 159/2011 acquisita tramite la banca dati nazionale unica?</w:t>
            </w:r>
          </w:p>
          <w:p w:rsidR="008B290D" w:rsidRDefault="003232A3">
            <w:pPr>
              <w:spacing w:after="0" w:line="240" w:lineRule="auto"/>
              <w:rPr>
                <w:rFonts w:ascii="Garamond" w:eastAsia="Times New Roman" w:hAnsi="Garamond" w:cs="Times New Roman"/>
                <w:i/>
                <w:color w:val="000000"/>
                <w:lang w:eastAsia="it-IT"/>
              </w:rPr>
            </w:pPr>
            <w:r>
              <w:rPr>
                <w:rFonts w:ascii="Garamond" w:eastAsia="Times New Roman" w:hAnsi="Garamond" w:cs="Times New Roman"/>
                <w:i/>
                <w:color w:val="000000"/>
                <w:lang w:eastAsia="it-IT"/>
              </w:rPr>
              <w:t>Oppure</w:t>
            </w: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b) nei casi di cui all’art. 92, comma 3, del d.lgs. n. 159 del 2011, senza l’informativa prefettizia sotto condizione risolutiva??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•Richiesta comunicazione antimafia</w:t>
            </w:r>
          </w:p>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•Autocertificazione</w:t>
            </w:r>
          </w:p>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tc>
      </w:tr>
      <w:tr w:rsidR="008B290D">
        <w:trPr>
          <w:trHeight w:val="821"/>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successivamente all’acquisizione di:</w:t>
            </w:r>
          </w:p>
          <w:p w:rsidR="008B290D" w:rsidRDefault="003232A3">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Certificati della Camera di Commercio;</w:t>
            </w:r>
          </w:p>
          <w:p w:rsidR="008B290D" w:rsidRDefault="003232A3">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8B290D" w:rsidRDefault="003232A3">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DURC;</w:t>
            </w:r>
          </w:p>
          <w:p w:rsidR="008B290D" w:rsidRDefault="003232A3">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per contratti superiori alla soglia comunitaria (IVA esclusa);</w:t>
            </w:r>
          </w:p>
          <w:p w:rsidR="008B290D" w:rsidRDefault="003232A3">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 ma inferiore alla soglia comunitaria (IVA esclusa)?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•Certificato Camera di Commercio</w:t>
            </w:r>
          </w:p>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•DURC </w:t>
            </w:r>
          </w:p>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in corso di validità</w:t>
            </w:r>
          </w:p>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in corso di validità</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7</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contratto è stato stipulato secondo le forme e modalità previste dall’art. 32, comma 14, del d. </w:t>
            </w:r>
            <w:proofErr w:type="spellStart"/>
            <w:r>
              <w:rPr>
                <w:rFonts w:ascii="Garamond" w:eastAsia="Times New Roman" w:hAnsi="Garamond" w:cs="Times New Roman"/>
                <w:color w:val="000000"/>
                <w:lang w:eastAsia="it-IT"/>
              </w:rPr>
              <w:t>lgs</w:t>
            </w:r>
            <w:proofErr w:type="spellEnd"/>
            <w:r>
              <w:rPr>
                <w:rFonts w:ascii="Garamond" w:eastAsia="Times New Roman" w:hAnsi="Garamond" w:cs="Times New Roman"/>
                <w:color w:val="000000"/>
                <w:lang w:eastAsia="it-IT"/>
              </w:rPr>
              <w:t>. n. 50/2016 e firmato da soggetti con poteri di firma?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aggiudicazione</w:t>
            </w:r>
          </w:p>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•Procura</w:t>
            </w:r>
          </w:p>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•Camera di Commercio</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 Italia?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•Scheda progetto/investimento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•Accordo di concessione/Contratto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ammissibilità</w:t>
            </w:r>
          </w:p>
        </w:tc>
      </w:tr>
      <w:tr w:rsidR="008B290D">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 xml:space="preserve">È stata costituita la “garanzia definitiva”, nel pieno rispetto di quanto previsto all’ art. 103 del d. </w:t>
            </w:r>
            <w:proofErr w:type="spellStart"/>
            <w:r>
              <w:rPr>
                <w:rFonts w:ascii="Garamond" w:eastAsia="Times New Roman" w:hAnsi="Garamond" w:cs="Times New Roman"/>
                <w:color w:val="000000"/>
                <w:lang w:eastAsia="it-IT"/>
              </w:rPr>
              <w:t>lgs</w:t>
            </w:r>
            <w:proofErr w:type="spellEnd"/>
            <w:r>
              <w:rPr>
                <w:rFonts w:ascii="Garamond" w:eastAsia="Times New Roman" w:hAnsi="Garamond" w:cs="Times New Roman"/>
                <w:color w:val="000000"/>
                <w:lang w:eastAsia="it-IT"/>
              </w:rPr>
              <w:t xml:space="preserve">. n. 50/2016 e ove pertinente la “garanzia di buon adempimento” e la “garanzia per la risoluzione” nel pieno rispetto di quanto previsto all’ art. 104 del d. </w:t>
            </w:r>
            <w:proofErr w:type="spellStart"/>
            <w:r>
              <w:rPr>
                <w:rFonts w:ascii="Garamond" w:eastAsia="Times New Roman" w:hAnsi="Garamond" w:cs="Times New Roman"/>
                <w:color w:val="000000"/>
                <w:lang w:eastAsia="it-IT"/>
              </w:rPr>
              <w:t>lgs</w:t>
            </w:r>
            <w:proofErr w:type="spellEnd"/>
            <w:r>
              <w:rPr>
                <w:rFonts w:ascii="Garamond" w:eastAsia="Times New Roman" w:hAnsi="Garamond" w:cs="Times New Roman"/>
                <w:color w:val="000000"/>
                <w:lang w:eastAsia="it-IT"/>
              </w:rPr>
              <w:t>.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Affidamento di cui all’articolo 36, comma 2, lettera a) relativamente al quale l’Amministrazione si è avvalsa della facoltà di non richiedere la garanzia (art. 103, comma 11, d. </w:t>
            </w:r>
            <w:proofErr w:type="spellStart"/>
            <w:r>
              <w:rPr>
                <w:rFonts w:ascii="Garamond" w:eastAsia="Times New Roman" w:hAnsi="Garamond" w:cs="Times New Roman"/>
                <w:b/>
                <w:bCs/>
                <w:color w:val="000000"/>
                <w:lang w:eastAsia="it-IT"/>
              </w:rPr>
              <w:t>lgs</w:t>
            </w:r>
            <w:proofErr w:type="spellEnd"/>
            <w:r>
              <w:rPr>
                <w:rFonts w:ascii="Garamond" w:eastAsia="Times New Roman" w:hAnsi="Garamond" w:cs="Times New Roman"/>
                <w:b/>
                <w:bCs/>
                <w:color w:val="000000"/>
                <w:lang w:eastAsia="it-IT"/>
              </w:rPr>
              <w:t>. n. 50/2016)</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•Garanzia fideiussoria</w:t>
            </w:r>
          </w:p>
        </w:tc>
      </w:tr>
      <w:tr w:rsidR="008B290D">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di appalto, subappalto </w:t>
            </w: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8B290D">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firmato digitalmente da tutti i soggetti con poteri di firma?</w:t>
            </w:r>
          </w:p>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particolare:</w:t>
            </w:r>
          </w:p>
          <w:p w:rsidR="008B290D" w:rsidRDefault="003232A3">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presentato atto di conferimento dei poteri di firma in capo al soggetto della stazione appaltante?</w:t>
            </w:r>
          </w:p>
          <w:p w:rsidR="008B290D" w:rsidRDefault="003232A3">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dalla CCIAA o da altro documento si evince il potere di firma in capo all’operatore economico?</w:t>
            </w:r>
          </w:p>
          <w:p w:rsidR="008B290D" w:rsidRDefault="003232A3">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presentata comprova dell’esito positivo della firma digitale dei contraenti?</w:t>
            </w:r>
          </w:p>
          <w:p w:rsidR="008B290D" w:rsidRDefault="003232A3">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dichiarato/verificato che i certificati di firma utilizzati fossero validi e conformi al disposto dell’art. 1, comma 1, </w:t>
            </w:r>
            <w:proofErr w:type="spellStart"/>
            <w:r>
              <w:rPr>
                <w:rFonts w:ascii="Garamond" w:eastAsia="Times New Roman" w:hAnsi="Garamond" w:cs="Times New Roman"/>
                <w:color w:val="000000"/>
                <w:lang w:eastAsia="it-IT"/>
              </w:rPr>
              <w:t>lett</w:t>
            </w:r>
            <w:proofErr w:type="spellEnd"/>
            <w:r>
              <w:rPr>
                <w:rFonts w:ascii="Garamond" w:eastAsia="Times New Roman" w:hAnsi="Garamond" w:cs="Times New Roman"/>
                <w:color w:val="000000"/>
                <w:lang w:eastAsia="it-IT"/>
              </w:rPr>
              <w:t>. f), del d.lgs. 7 marzo 2005, n. 82?</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8B290D">
            <w:pPr>
              <w:spacing w:after="0" w:line="240" w:lineRule="auto"/>
              <w:rPr>
                <w:rFonts w:ascii="Garamond" w:eastAsia="Times New Roman" w:hAnsi="Garamond" w:cs="Times New Roman"/>
                <w:color w:val="000000"/>
                <w:lang w:eastAsia="it-IT"/>
              </w:rPr>
            </w:pPr>
          </w:p>
        </w:tc>
      </w:tr>
      <w:tr w:rsidR="008B290D">
        <w:trPr>
          <w:trHeight w:val="680"/>
        </w:trPr>
        <w:tc>
          <w:tcPr>
            <w:tcW w:w="67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B290D" w:rsidRDefault="003232A3">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G</w:t>
            </w:r>
          </w:p>
        </w:tc>
        <w:tc>
          <w:tcPr>
            <w:tcW w:w="10835"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8B290D" w:rsidRDefault="003232A3">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277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B290D" w:rsidRDefault="008B290D">
            <w:pPr>
              <w:spacing w:after="0" w:line="240" w:lineRule="auto"/>
              <w:rPr>
                <w:rFonts w:ascii="Garamond" w:eastAsia="Times New Roman" w:hAnsi="Garamond" w:cs="Times New Roman"/>
                <w:b/>
                <w:bCs/>
                <w:lang w:eastAsia="it-IT"/>
              </w:rPr>
            </w:pPr>
          </w:p>
        </w:tc>
      </w:tr>
      <w:tr w:rsidR="008B290D">
        <w:trPr>
          <w:trHeight w:val="1073"/>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presente il verbale di inizio attività/consegna lavori parziale/definitiva?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Verbale di inizio attività/consegna dei lavori</w:t>
            </w:r>
          </w:p>
        </w:tc>
      </w:tr>
      <w:tr w:rsidR="008B290D">
        <w:trPr>
          <w:trHeight w:val="1073"/>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 xml:space="preserve">È stato rispettato quanto previsto dall’ art. 105 del d. </w:t>
            </w:r>
            <w:proofErr w:type="spellStart"/>
            <w:r>
              <w:rPr>
                <w:rFonts w:ascii="Garamond" w:eastAsia="Times New Roman" w:hAnsi="Garamond" w:cs="Times New Roman"/>
                <w:color w:val="000000"/>
                <w:lang w:eastAsia="it-IT"/>
              </w:rPr>
              <w:t>lgs</w:t>
            </w:r>
            <w:proofErr w:type="spellEnd"/>
            <w:r>
              <w:rPr>
                <w:rFonts w:ascii="Garamond" w:eastAsia="Times New Roman" w:hAnsi="Garamond" w:cs="Times New Roman"/>
                <w:color w:val="000000"/>
                <w:lang w:eastAsia="it-IT"/>
              </w:rPr>
              <w:t>. n. 50/2016 in merito al subappalto?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color w:val="3465A4"/>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8B290D">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eventuali modifiche o varianti sono state autorizzate dal RUP con le modalità previste dall’ordinamento della stazione appaltante cui il RUP dipende, ai sensi dell’art. 106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8B290D" w:rsidRDefault="003232A3">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sulle varianti/modifiche</w:t>
            </w:r>
          </w:p>
        </w:tc>
      </w:tr>
      <w:tr w:rsidR="008B290D">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rispettata la durata prevista nel contratto?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8B290D">
            <w:pPr>
              <w:spacing w:after="0" w:line="240" w:lineRule="auto"/>
              <w:rPr>
                <w:rFonts w:ascii="Garamond" w:eastAsia="Times New Roman" w:hAnsi="Garamond" w:cs="Times New Roman"/>
                <w:color w:val="000000"/>
                <w:lang w:eastAsia="it-IT"/>
              </w:rPr>
            </w:pPr>
          </w:p>
        </w:tc>
      </w:tr>
      <w:tr w:rsidR="008B290D">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8B290D">
            <w:pPr>
              <w:spacing w:after="0" w:line="240" w:lineRule="auto"/>
              <w:rPr>
                <w:rFonts w:ascii="Garamond" w:eastAsia="Times New Roman" w:hAnsi="Garamond" w:cs="Times New Roman"/>
                <w:color w:val="000000"/>
                <w:lang w:eastAsia="it-IT"/>
              </w:rPr>
            </w:pPr>
          </w:p>
        </w:tc>
      </w:tr>
      <w:tr w:rsidR="008B290D">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8B290D">
            <w:pPr>
              <w:spacing w:after="0" w:line="240" w:lineRule="auto"/>
              <w:rPr>
                <w:rFonts w:ascii="Garamond" w:eastAsia="Times New Roman" w:hAnsi="Garamond" w:cs="Times New Roman"/>
                <w:color w:val="000000"/>
                <w:lang w:eastAsia="it-IT"/>
              </w:rPr>
            </w:pPr>
          </w:p>
        </w:tc>
      </w:tr>
      <w:tr w:rsidR="008B290D">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emesso il verbale di ultimazione lavori?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8B290D">
            <w:pPr>
              <w:spacing w:after="0" w:line="240" w:lineRule="auto"/>
              <w:rPr>
                <w:rFonts w:ascii="Garamond" w:eastAsia="Times New Roman" w:hAnsi="Garamond" w:cs="Times New Roman"/>
                <w:color w:val="000000"/>
                <w:lang w:eastAsia="it-IT"/>
              </w:rPr>
            </w:pPr>
          </w:p>
        </w:tc>
      </w:tr>
      <w:tr w:rsidR="008B290D">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trasmesso il certificato di regolare esecuzione/collaudo/certificato di verifica di conformità?</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8B290D">
            <w:pPr>
              <w:spacing w:after="0" w:line="240" w:lineRule="auto"/>
              <w:rPr>
                <w:rFonts w:ascii="Garamond" w:eastAsia="Times New Roman" w:hAnsi="Garamond" w:cs="Times New Roman"/>
                <w:color w:val="000000"/>
                <w:lang w:eastAsia="it-IT"/>
              </w:rPr>
            </w:pPr>
          </w:p>
        </w:tc>
      </w:tr>
      <w:tr w:rsidR="008B290D">
        <w:trPr>
          <w:trHeight w:val="680"/>
        </w:trPr>
        <w:tc>
          <w:tcPr>
            <w:tcW w:w="67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B290D" w:rsidRDefault="003232A3">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H</w:t>
            </w:r>
          </w:p>
        </w:tc>
        <w:tc>
          <w:tcPr>
            <w:tcW w:w="10835"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8B290D" w:rsidRDefault="003232A3">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Conservazione della documentazione</w:t>
            </w:r>
          </w:p>
        </w:tc>
        <w:tc>
          <w:tcPr>
            <w:tcW w:w="277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B290D" w:rsidRDefault="008B290D">
            <w:pPr>
              <w:spacing w:after="0" w:line="240" w:lineRule="auto"/>
              <w:rPr>
                <w:rFonts w:ascii="Garamond" w:eastAsia="Times New Roman" w:hAnsi="Garamond" w:cs="Times New Roman"/>
                <w:b/>
                <w:bCs/>
                <w:lang w:eastAsia="it-IT"/>
              </w:rPr>
            </w:pPr>
          </w:p>
        </w:tc>
      </w:tr>
      <w:tr w:rsidR="008B290D">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 procedura di gara e all’esecuzione del contratto è stata opportunamente conservata dal beneficiario, in originale o nei formati </w:t>
            </w:r>
            <w:r>
              <w:rPr>
                <w:rFonts w:ascii="Garamond" w:eastAsia="Times New Roman" w:hAnsi="Garamond" w:cs="Times New Roman"/>
                <w:color w:val="000000"/>
                <w:lang w:eastAsia="it-IT"/>
              </w:rPr>
              <w:lastRenderedPageBreak/>
              <w:t>previsti dalla normativa vigente, ed inserita sul sistema informativo?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8B290D">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0D" w:rsidRDefault="003232A3">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Fascicolo e documenti di gara</w:t>
            </w:r>
          </w:p>
        </w:tc>
      </w:tr>
    </w:tbl>
    <w:p w:rsidR="008B290D" w:rsidRDefault="008B290D"/>
    <w:p w:rsidR="008B290D" w:rsidRDefault="008B290D"/>
    <w:tbl>
      <w:tblPr>
        <w:tblW w:w="4050" w:type="pct"/>
        <w:jc w:val="center"/>
        <w:tblCellMar>
          <w:left w:w="70" w:type="dxa"/>
          <w:right w:w="70" w:type="dxa"/>
        </w:tblCellMar>
        <w:tblLook w:val="04A0" w:firstRow="1" w:lastRow="0" w:firstColumn="1" w:lastColumn="0" w:noHBand="0" w:noVBand="1"/>
      </w:tblPr>
      <w:tblGrid>
        <w:gridCol w:w="9027"/>
        <w:gridCol w:w="612"/>
        <w:gridCol w:w="1917"/>
      </w:tblGrid>
      <w:tr w:rsidR="008B290D">
        <w:trPr>
          <w:trHeight w:val="600"/>
          <w:jc w:val="center"/>
        </w:trPr>
        <w:tc>
          <w:tcPr>
            <w:tcW w:w="11572" w:type="dxa"/>
            <w:gridSpan w:val="3"/>
            <w:tcBorders>
              <w:top w:val="single" w:sz="8" w:space="0" w:color="000000"/>
              <w:left w:val="single" w:sz="8" w:space="0" w:color="000000"/>
              <w:bottom w:val="single" w:sz="4" w:space="0" w:color="000000"/>
              <w:right w:val="single" w:sz="8" w:space="0" w:color="000000"/>
            </w:tcBorders>
            <w:shd w:val="clear" w:color="000000" w:fill="B8CCE4"/>
            <w:vAlign w:val="center"/>
          </w:tcPr>
          <w:p w:rsidR="008B290D" w:rsidRDefault="003232A3">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ESITI</w:t>
            </w:r>
          </w:p>
        </w:tc>
      </w:tr>
      <w:tr w:rsidR="008B290D">
        <w:trPr>
          <w:trHeight w:val="465"/>
          <w:jc w:val="center"/>
        </w:trPr>
        <w:tc>
          <w:tcPr>
            <w:tcW w:w="9042"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8B290D" w:rsidRDefault="003232A3">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Esito del controllo:</w:t>
            </w:r>
          </w:p>
        </w:tc>
        <w:tc>
          <w:tcPr>
            <w:tcW w:w="613" w:type="dxa"/>
            <w:tcBorders>
              <w:bottom w:val="single" w:sz="4" w:space="0" w:color="000000"/>
              <w:right w:val="single" w:sz="4" w:space="0" w:color="000000"/>
            </w:tcBorders>
            <w:shd w:val="clear" w:color="000000" w:fill="FFFFFF"/>
            <w:vAlign w:val="center"/>
          </w:tcPr>
          <w:p w:rsidR="008B290D" w:rsidRDefault="003232A3">
            <w:pPr>
              <w:spacing w:after="0" w:line="240" w:lineRule="auto"/>
              <w:jc w:val="center"/>
            </w:pPr>
            <w:r>
              <w:rPr>
                <w:rFonts w:ascii="Wingdings" w:eastAsia="Wingdings" w:hAnsi="Wingdings" w:cs="Wingdings"/>
                <w:color w:val="000000"/>
                <w:lang w:eastAsia="it-IT"/>
              </w:rPr>
              <w:t></w:t>
            </w:r>
          </w:p>
        </w:tc>
        <w:tc>
          <w:tcPr>
            <w:tcW w:w="1917" w:type="dxa"/>
            <w:tcBorders>
              <w:bottom w:val="single" w:sz="4" w:space="0" w:color="000000"/>
              <w:right w:val="single" w:sz="8" w:space="0" w:color="000000"/>
            </w:tcBorders>
            <w:shd w:val="clear" w:color="000000" w:fill="FFFFFF"/>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POSITIVO</w:t>
            </w:r>
          </w:p>
        </w:tc>
      </w:tr>
      <w:tr w:rsidR="008B290D">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shd w:val="clear" w:color="000000" w:fill="FFFFFF"/>
            <w:vAlign w:val="center"/>
          </w:tcPr>
          <w:p w:rsidR="008B290D" w:rsidRDefault="008B290D">
            <w:pPr>
              <w:spacing w:after="0" w:line="240" w:lineRule="auto"/>
              <w:jc w:val="center"/>
              <w:rPr>
                <w:rFonts w:ascii="Garamond" w:eastAsia="Times New Roman" w:hAnsi="Garamond" w:cs="Times New Roman"/>
                <w:b/>
                <w:bCs/>
                <w:color w:val="000000"/>
                <w:lang w:eastAsia="it-IT"/>
              </w:rPr>
            </w:pPr>
          </w:p>
        </w:tc>
        <w:tc>
          <w:tcPr>
            <w:tcW w:w="613" w:type="dxa"/>
            <w:tcBorders>
              <w:bottom w:val="single" w:sz="4" w:space="0" w:color="000000"/>
              <w:right w:val="single" w:sz="4" w:space="0" w:color="000000"/>
            </w:tcBorders>
            <w:shd w:val="clear" w:color="000000" w:fill="FFFFFF"/>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4" w:space="0" w:color="000000"/>
              <w:right w:val="single" w:sz="8" w:space="0" w:color="000000"/>
            </w:tcBorders>
            <w:shd w:val="clear" w:color="000000" w:fill="FFFFFF"/>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PARZIALMENTE POSITIVO</w:t>
            </w:r>
          </w:p>
        </w:tc>
      </w:tr>
      <w:tr w:rsidR="008B290D">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vAlign w:val="center"/>
          </w:tcPr>
          <w:p w:rsidR="008B290D" w:rsidRDefault="008B290D">
            <w:pPr>
              <w:spacing w:after="0" w:line="240" w:lineRule="auto"/>
              <w:jc w:val="center"/>
              <w:rPr>
                <w:rFonts w:ascii="Garamond" w:eastAsia="Times New Roman" w:hAnsi="Garamond" w:cs="Times New Roman"/>
                <w:b/>
                <w:bCs/>
                <w:color w:val="000000"/>
                <w:lang w:eastAsia="it-IT"/>
              </w:rPr>
            </w:pPr>
          </w:p>
        </w:tc>
        <w:tc>
          <w:tcPr>
            <w:tcW w:w="613" w:type="dxa"/>
            <w:tcBorders>
              <w:bottom w:val="single" w:sz="8" w:space="0" w:color="000000"/>
              <w:right w:val="single" w:sz="4" w:space="0" w:color="000000"/>
            </w:tcBorders>
            <w:shd w:val="clear" w:color="000000" w:fill="FFFFFF"/>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8" w:space="0" w:color="000000"/>
              <w:right w:val="single" w:sz="8" w:space="0" w:color="000000"/>
            </w:tcBorders>
            <w:shd w:val="clear" w:color="000000" w:fill="FFFFFF"/>
            <w:vAlign w:val="center"/>
          </w:tcPr>
          <w:p w:rsidR="008B290D" w:rsidRDefault="003232A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NEGATIVO</w:t>
            </w:r>
          </w:p>
        </w:tc>
      </w:tr>
    </w:tbl>
    <w:p w:rsidR="008B290D" w:rsidRDefault="008B290D"/>
    <w:p w:rsidR="008B290D" w:rsidRDefault="008B290D"/>
    <w:p w:rsidR="008B290D" w:rsidRDefault="008B290D"/>
    <w:tbl>
      <w:tblPr>
        <w:tblW w:w="2900" w:type="pct"/>
        <w:jc w:val="center"/>
        <w:tblCellMar>
          <w:left w:w="70" w:type="dxa"/>
          <w:right w:w="70" w:type="dxa"/>
        </w:tblCellMar>
        <w:tblLook w:val="04A0" w:firstRow="1" w:lastRow="0" w:firstColumn="1" w:lastColumn="0" w:noHBand="0" w:noVBand="1"/>
      </w:tblPr>
      <w:tblGrid>
        <w:gridCol w:w="4252"/>
        <w:gridCol w:w="4023"/>
      </w:tblGrid>
      <w:tr w:rsidR="008B290D">
        <w:trPr>
          <w:trHeight w:val="600"/>
          <w:jc w:val="center"/>
        </w:trPr>
        <w:tc>
          <w:tcPr>
            <w:tcW w:w="4257"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8B290D" w:rsidRDefault="003232A3">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8B290D" w:rsidRDefault="003232A3">
            <w:pPr>
              <w:spacing w:after="0" w:line="240" w:lineRule="auto"/>
              <w:jc w:val="center"/>
            </w:pPr>
            <w:r>
              <w:rPr>
                <w:rFonts w:ascii="Garamond" w:eastAsia="Times New Roman" w:hAnsi="Garamond" w:cs="Times New Roman"/>
                <w:b/>
                <w:bCs/>
                <w:lang w:eastAsia="it-IT"/>
              </w:rPr>
              <w:t xml:space="preserve">€ </w:t>
            </w:r>
            <w:r>
              <w:rPr>
                <w:rFonts w:ascii="Garamond" w:eastAsia="Times New Roman" w:hAnsi="Garamond" w:cs="Times New Roman"/>
                <w:b/>
                <w:bCs/>
                <w:color w:val="000000"/>
                <w:lang w:eastAsia="it-IT"/>
              </w:rPr>
              <w:t>0,00</w:t>
            </w:r>
          </w:p>
        </w:tc>
      </w:tr>
      <w:tr w:rsidR="008B290D">
        <w:trPr>
          <w:trHeight w:val="569"/>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8B290D" w:rsidRDefault="004309FE">
            <w:pPr>
              <w:spacing w:after="0" w:line="240" w:lineRule="auto"/>
              <w:jc w:val="center"/>
            </w:pPr>
            <w:r>
              <w:rPr>
                <w:rFonts w:ascii="Garamond" w:eastAsia="Times New Roman" w:hAnsi="Garamond" w:cstheme="minorHAnsi"/>
                <w:lang w:eastAsia="it-IT"/>
              </w:rPr>
              <w:t xml:space="preserve">€ </w:t>
            </w:r>
            <w:r w:rsidRPr="005A4C0E">
              <w:rPr>
                <w:rFonts w:ascii="Garamond" w:eastAsia="Times New Roman" w:hAnsi="Garamond" w:cstheme="minorHAnsi"/>
                <w:lang w:eastAsia="it-IT"/>
              </w:rPr>
              <w:t>12.169,5</w:t>
            </w:r>
            <w:r>
              <w:rPr>
                <w:rFonts w:ascii="Garamond" w:eastAsia="Times New Roman" w:hAnsi="Garamond" w:cstheme="minorHAnsi"/>
                <w:lang w:eastAsia="it-IT"/>
              </w:rPr>
              <w:t>0</w:t>
            </w:r>
          </w:p>
        </w:tc>
      </w:tr>
      <w:tr w:rsidR="008B290D">
        <w:trPr>
          <w:trHeight w:val="627"/>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8B290D" w:rsidRDefault="004309FE">
            <w:pPr>
              <w:spacing w:after="0" w:line="240" w:lineRule="auto"/>
              <w:jc w:val="center"/>
            </w:pPr>
            <w:r>
              <w:rPr>
                <w:rFonts w:ascii="Garamond" w:eastAsia="Times New Roman" w:hAnsi="Garamond" w:cstheme="minorHAnsi"/>
                <w:lang w:eastAsia="it-IT"/>
              </w:rPr>
              <w:t xml:space="preserve">€ </w:t>
            </w:r>
            <w:r w:rsidRPr="005A4C0E">
              <w:rPr>
                <w:rFonts w:ascii="Garamond" w:eastAsia="Times New Roman" w:hAnsi="Garamond" w:cstheme="minorHAnsi"/>
                <w:lang w:eastAsia="it-IT"/>
              </w:rPr>
              <w:t>12.169,5</w:t>
            </w:r>
            <w:r>
              <w:rPr>
                <w:rFonts w:ascii="Garamond" w:eastAsia="Times New Roman" w:hAnsi="Garamond" w:cstheme="minorHAnsi"/>
                <w:lang w:eastAsia="it-IT"/>
              </w:rPr>
              <w:t>0</w:t>
            </w:r>
          </w:p>
        </w:tc>
      </w:tr>
      <w:tr w:rsidR="008B290D">
        <w:trPr>
          <w:trHeight w:val="693"/>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8B290D" w:rsidRDefault="003232A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8B290D" w:rsidRDefault="003232A3">
            <w:pPr>
              <w:spacing w:after="0" w:line="240" w:lineRule="auto"/>
              <w:jc w:val="center"/>
            </w:pPr>
            <w:r>
              <w:rPr>
                <w:rFonts w:ascii="Garamond" w:eastAsia="Times New Roman" w:hAnsi="Garamond" w:cs="Times New Roman"/>
                <w:bCs/>
                <w:lang w:eastAsia="it-IT"/>
              </w:rPr>
              <w:t xml:space="preserve">€ </w:t>
            </w:r>
            <w:r>
              <w:rPr>
                <w:rFonts w:ascii="Garamond" w:eastAsia="Times New Roman" w:hAnsi="Garamond" w:cs="Times New Roman"/>
                <w:bCs/>
                <w:color w:val="000000"/>
                <w:lang w:eastAsia="it-IT"/>
              </w:rPr>
              <w:t>0,00</w:t>
            </w:r>
          </w:p>
        </w:tc>
      </w:tr>
    </w:tbl>
    <w:p w:rsidR="008B290D" w:rsidRDefault="008B290D"/>
    <w:p w:rsidR="008B290D" w:rsidRDefault="008B290D"/>
    <w:tbl>
      <w:tblPr>
        <w:tblW w:w="4000" w:type="pct"/>
        <w:jc w:val="center"/>
        <w:tblCellMar>
          <w:left w:w="70" w:type="dxa"/>
          <w:right w:w="70" w:type="dxa"/>
        </w:tblCellMar>
        <w:tblLook w:val="04A0" w:firstRow="1" w:lastRow="0" w:firstColumn="1" w:lastColumn="0" w:noHBand="0" w:noVBand="1"/>
      </w:tblPr>
      <w:tblGrid>
        <w:gridCol w:w="11414"/>
      </w:tblGrid>
      <w:tr w:rsidR="008B290D">
        <w:trPr>
          <w:trHeight w:val="600"/>
          <w:jc w:val="center"/>
        </w:trPr>
        <w:tc>
          <w:tcPr>
            <w:tcW w:w="11429"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8B290D" w:rsidRDefault="003232A3">
            <w:pPr>
              <w:spacing w:after="0" w:line="240" w:lineRule="auto"/>
              <w:jc w:val="center"/>
              <w:rPr>
                <w:rFonts w:ascii="Garamond" w:eastAsia="Times New Roman" w:hAnsi="Garamond" w:cs="Times New Roman"/>
                <w:b/>
                <w:bCs/>
                <w:highlight w:val="yellow"/>
                <w:lang w:eastAsia="it-IT"/>
              </w:rPr>
            </w:pPr>
            <w:r>
              <w:rPr>
                <w:rFonts w:ascii="Garamond" w:eastAsia="Times New Roman" w:hAnsi="Garamond" w:cs="Times New Roman"/>
                <w:b/>
                <w:bCs/>
                <w:lang w:eastAsia="it-IT"/>
              </w:rPr>
              <w:t>Note (Osservazioni/Raccomandazioni/Segnalazione irregolarità)</w:t>
            </w:r>
          </w:p>
        </w:tc>
      </w:tr>
      <w:tr w:rsidR="008B290D">
        <w:trPr>
          <w:trHeight w:hRule="exact" w:val="1080"/>
          <w:jc w:val="center"/>
        </w:trPr>
        <w:tc>
          <w:tcPr>
            <w:tcW w:w="11429" w:type="dxa"/>
            <w:tcBorders>
              <w:top w:val="single" w:sz="4" w:space="0" w:color="000000"/>
              <w:left w:val="single" w:sz="8" w:space="0" w:color="000000"/>
              <w:bottom w:val="single" w:sz="4" w:space="0" w:color="000000"/>
              <w:right w:val="single" w:sz="8" w:space="0" w:color="000000"/>
            </w:tcBorders>
            <w:shd w:val="clear" w:color="auto" w:fill="auto"/>
            <w:vAlign w:val="center"/>
          </w:tcPr>
          <w:p w:rsidR="008B290D" w:rsidRDefault="008B290D">
            <w:pPr>
              <w:spacing w:after="0" w:line="240" w:lineRule="auto"/>
              <w:jc w:val="center"/>
              <w:rPr>
                <w:rFonts w:ascii="Garamond" w:eastAsia="Times New Roman" w:hAnsi="Garamond" w:cs="Times New Roman"/>
                <w:color w:val="000000"/>
                <w:highlight w:val="yellow"/>
                <w:lang w:eastAsia="it-IT"/>
              </w:rPr>
            </w:pPr>
          </w:p>
        </w:tc>
      </w:tr>
    </w:tbl>
    <w:p w:rsidR="008B290D" w:rsidRDefault="008B290D">
      <w:pPr>
        <w:rPr>
          <w:rFonts w:ascii="Garamond" w:hAnsi="Garamond"/>
        </w:rPr>
      </w:pPr>
    </w:p>
    <w:tbl>
      <w:tblPr>
        <w:tblpPr w:leftFromText="141" w:rightFromText="141" w:vertAnchor="text" w:horzAnchor="page" w:tblpX="2536" w:tblpY="25"/>
        <w:tblW w:w="4000" w:type="pct"/>
        <w:tblCellMar>
          <w:left w:w="70" w:type="dxa"/>
          <w:right w:w="70" w:type="dxa"/>
        </w:tblCellMar>
        <w:tblLook w:val="04A0" w:firstRow="1" w:lastRow="0" w:firstColumn="1" w:lastColumn="0" w:noHBand="0" w:noVBand="1"/>
      </w:tblPr>
      <w:tblGrid>
        <w:gridCol w:w="6209"/>
        <w:gridCol w:w="5213"/>
      </w:tblGrid>
      <w:tr w:rsidR="008B290D">
        <w:trPr>
          <w:trHeight w:val="495"/>
        </w:trPr>
        <w:tc>
          <w:tcPr>
            <w:tcW w:w="6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290D" w:rsidRDefault="003232A3">
            <w:pPr>
              <w:rPr>
                <w:rFonts w:ascii="Garamond" w:hAnsi="Garamond" w:cs="Calibri"/>
                <w:b/>
                <w:bCs/>
              </w:rPr>
            </w:pPr>
            <w:r>
              <w:rPr>
                <w:rFonts w:ascii="Garamond" w:hAnsi="Garamond" w:cs="Calibri"/>
                <w:b/>
                <w:bCs/>
              </w:rPr>
              <w:t>Data e luogo del controllo:</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290D" w:rsidRDefault="004309FE" w:rsidP="004309FE">
            <w:pPr>
              <w:jc w:val="center"/>
            </w:pPr>
            <w:r>
              <w:rPr>
                <w:rFonts w:ascii="Garamond" w:hAnsi="Garamond" w:cs="Calibri"/>
              </w:rPr>
              <w:t>10</w:t>
            </w:r>
            <w:r w:rsidR="003232A3">
              <w:rPr>
                <w:rFonts w:ascii="Garamond" w:hAnsi="Garamond" w:cs="Calibri"/>
              </w:rPr>
              <w:t>/</w:t>
            </w:r>
            <w:r>
              <w:rPr>
                <w:rFonts w:ascii="Garamond" w:hAnsi="Garamond" w:cs="Calibri"/>
              </w:rPr>
              <w:t>11</w:t>
            </w:r>
            <w:r w:rsidR="003232A3">
              <w:rPr>
                <w:rFonts w:ascii="Garamond" w:hAnsi="Garamond" w:cs="Calibri"/>
              </w:rPr>
              <w:t>/2023, Parma</w:t>
            </w:r>
          </w:p>
        </w:tc>
      </w:tr>
      <w:tr w:rsidR="008B290D">
        <w:trPr>
          <w:trHeight w:val="620"/>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8B290D" w:rsidRDefault="003232A3">
            <w:pPr>
              <w:rPr>
                <w:rFonts w:ascii="Garamond" w:hAnsi="Garamond" w:cs="Calibri"/>
                <w:b/>
              </w:rPr>
            </w:pPr>
            <w:r>
              <w:rPr>
                <w:rFonts w:ascii="Garamond" w:hAnsi="Garamond" w:cs="Calibri"/>
                <w:b/>
              </w:rPr>
              <w:t xml:space="preserve">Incaricato del controllo: Ing. Paola </w:t>
            </w:r>
            <w:proofErr w:type="spellStart"/>
            <w:r>
              <w:rPr>
                <w:rFonts w:ascii="Garamond" w:hAnsi="Garamond" w:cs="Calibri"/>
                <w:b/>
              </w:rPr>
              <w:t>Cassinelli</w:t>
            </w:r>
            <w:proofErr w:type="spellEnd"/>
            <w:r>
              <w:rPr>
                <w:rFonts w:ascii="Garamond" w:hAnsi="Garamond" w:cs="Calibri"/>
                <w:b/>
              </w:rPr>
              <w:t xml:space="preserve"> - Firma</w:t>
            </w:r>
          </w:p>
        </w:tc>
      </w:tr>
      <w:tr w:rsidR="008B290D">
        <w:trPr>
          <w:trHeight w:val="558"/>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8B290D" w:rsidRDefault="003232A3">
            <w:pPr>
              <w:rPr>
                <w:rFonts w:ascii="Garamond" w:hAnsi="Garamond" w:cs="Calibri"/>
                <w:b/>
              </w:rPr>
            </w:pPr>
            <w:r>
              <w:rPr>
                <w:rFonts w:ascii="Garamond" w:hAnsi="Garamond" w:cs="Calibri"/>
                <w:b/>
              </w:rPr>
              <w:t xml:space="preserve">Responsabile del controllo: Ing. Paola </w:t>
            </w:r>
            <w:proofErr w:type="spellStart"/>
            <w:r>
              <w:rPr>
                <w:rFonts w:ascii="Garamond" w:hAnsi="Garamond" w:cs="Calibri"/>
                <w:b/>
              </w:rPr>
              <w:t>Cassinelli</w:t>
            </w:r>
            <w:proofErr w:type="spellEnd"/>
            <w:r>
              <w:rPr>
                <w:rFonts w:ascii="Garamond" w:hAnsi="Garamond" w:cs="Calibri"/>
                <w:b/>
              </w:rPr>
              <w:t xml:space="preserve"> - Firma</w:t>
            </w:r>
          </w:p>
        </w:tc>
      </w:tr>
    </w:tbl>
    <w:p w:rsidR="008B290D" w:rsidRDefault="008B290D">
      <w:pPr>
        <w:rPr>
          <w:rFonts w:ascii="Garamond" w:hAnsi="Garamond"/>
        </w:rPr>
      </w:pPr>
    </w:p>
    <w:p w:rsidR="008B290D" w:rsidRDefault="008B290D">
      <w:pPr>
        <w:rPr>
          <w:rFonts w:ascii="Garamond" w:hAnsi="Garamond"/>
        </w:rPr>
      </w:pPr>
    </w:p>
    <w:p w:rsidR="008B290D" w:rsidRDefault="008B290D">
      <w:pPr>
        <w:rPr>
          <w:rFonts w:ascii="Garamond" w:hAnsi="Garamond"/>
        </w:rPr>
      </w:pPr>
    </w:p>
    <w:p w:rsidR="008B290D" w:rsidRDefault="008B290D"/>
    <w:p w:rsidR="008B290D" w:rsidRDefault="008B290D">
      <w:pPr>
        <w:rPr>
          <w:rFonts w:ascii="Garamond" w:hAnsi="Garamond"/>
        </w:rPr>
      </w:pPr>
    </w:p>
    <w:sectPr w:rsidR="008B290D">
      <w:headerReference w:type="default" r:id="rId11"/>
      <w:footerReference w:type="default" r:id="rId12"/>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371" w:rsidRDefault="00720371">
      <w:pPr>
        <w:spacing w:after="0" w:line="240" w:lineRule="auto"/>
      </w:pPr>
      <w:r>
        <w:separator/>
      </w:r>
    </w:p>
  </w:endnote>
  <w:endnote w:type="continuationSeparator" w:id="0">
    <w:p w:rsidR="00720371" w:rsidRDefault="0072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A3" w:rsidRDefault="003232A3">
    <w:pPr>
      <w:pStyle w:val="Pidipagina"/>
      <w:jc w:val="right"/>
      <w:rPr>
        <w:rFonts w:ascii="Garamond" w:hAnsi="Garamond"/>
        <w:sz w:val="20"/>
        <w:szCs w:val="20"/>
      </w:rPr>
    </w:pPr>
    <w:r>
      <w:rPr>
        <w:rFonts w:ascii="Garamond" w:hAnsi="Garamond"/>
        <w:sz w:val="20"/>
        <w:szCs w:val="20"/>
      </w:rPr>
      <w:fldChar w:fldCharType="begin"/>
    </w:r>
    <w:r>
      <w:rPr>
        <w:rFonts w:ascii="Garamond" w:hAnsi="Garamond"/>
        <w:sz w:val="20"/>
        <w:szCs w:val="20"/>
      </w:rPr>
      <w:instrText>PAGE</w:instrText>
    </w:r>
    <w:r>
      <w:rPr>
        <w:rFonts w:ascii="Garamond" w:hAnsi="Garamond"/>
        <w:sz w:val="20"/>
        <w:szCs w:val="20"/>
      </w:rPr>
      <w:fldChar w:fldCharType="separate"/>
    </w:r>
    <w:r w:rsidR="00667161">
      <w:rPr>
        <w:rFonts w:ascii="Garamond" w:hAnsi="Garamond"/>
        <w:noProof/>
        <w:sz w:val="20"/>
        <w:szCs w:val="20"/>
      </w:rPr>
      <w:t>22</w:t>
    </w:r>
    <w:r>
      <w:rPr>
        <w:rFonts w:ascii="Garamond" w:hAnsi="Garamond"/>
        <w:sz w:val="20"/>
        <w:szCs w:val="20"/>
      </w:rPr>
      <w:fldChar w:fldCharType="end"/>
    </w:r>
  </w:p>
  <w:p w:rsidR="003232A3" w:rsidRDefault="003232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371" w:rsidRDefault="00720371">
      <w:pPr>
        <w:spacing w:after="0" w:line="240" w:lineRule="auto"/>
      </w:pPr>
      <w:r>
        <w:separator/>
      </w:r>
    </w:p>
  </w:footnote>
  <w:footnote w:type="continuationSeparator" w:id="0">
    <w:p w:rsidR="00720371" w:rsidRDefault="00720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A3" w:rsidRDefault="003232A3">
    <w:pPr>
      <w:pStyle w:val="Intestazione"/>
      <w:jc w:val="center"/>
    </w:pPr>
    <w:r>
      <w:rPr>
        <w:noProof/>
        <w:lang w:eastAsia="it-IT"/>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rsidR="003232A3" w:rsidRDefault="003232A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D4F"/>
    <w:multiLevelType w:val="multilevel"/>
    <w:tmpl w:val="2DBE23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9B37CA"/>
    <w:multiLevelType w:val="multilevel"/>
    <w:tmpl w:val="1AB61DDA"/>
    <w:lvl w:ilvl="0">
      <w:start w:val="3"/>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BA5012"/>
    <w:multiLevelType w:val="multilevel"/>
    <w:tmpl w:val="2D4AFD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F02246"/>
    <w:multiLevelType w:val="multilevel"/>
    <w:tmpl w:val="12E4F1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6432E38"/>
    <w:multiLevelType w:val="multilevel"/>
    <w:tmpl w:val="A0208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A17B74"/>
    <w:multiLevelType w:val="multilevel"/>
    <w:tmpl w:val="D19A91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3D6154"/>
    <w:multiLevelType w:val="multilevel"/>
    <w:tmpl w:val="2CB815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29525B"/>
    <w:multiLevelType w:val="multilevel"/>
    <w:tmpl w:val="75663B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B45A5E"/>
    <w:multiLevelType w:val="multilevel"/>
    <w:tmpl w:val="188041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8"/>
  </w:num>
  <w:num w:numId="4">
    <w:abstractNumId w:val="2"/>
  </w:num>
  <w:num w:numId="5">
    <w:abstractNumId w:val="5"/>
  </w:num>
  <w:num w:numId="6">
    <w:abstractNumId w:val="0"/>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0D"/>
    <w:rsid w:val="003232A3"/>
    <w:rsid w:val="004309FE"/>
    <w:rsid w:val="005A4C0E"/>
    <w:rsid w:val="00667161"/>
    <w:rsid w:val="00720371"/>
    <w:rsid w:val="008B290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F720"/>
  <w15:docId w15:val="{1C19A777-8604-41E4-A145-35094220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165D"/>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B082A"/>
  </w:style>
  <w:style w:type="character" w:customStyle="1" w:styleId="PidipaginaCarattere">
    <w:name w:val="Piè di pagina Carattere"/>
    <w:basedOn w:val="Carpredefinitoparagrafo"/>
    <w:link w:val="Pidipagina"/>
    <w:uiPriority w:val="99"/>
    <w:qFormat/>
    <w:rsid w:val="00BB082A"/>
  </w:style>
  <w:style w:type="character" w:customStyle="1" w:styleId="TestofumettoCarattere">
    <w:name w:val="Testo fumetto Carattere"/>
    <w:basedOn w:val="Carpredefinitoparagrafo"/>
    <w:link w:val="Testofumetto"/>
    <w:uiPriority w:val="99"/>
    <w:semiHidden/>
    <w:qFormat/>
    <w:rsid w:val="00BB082A"/>
    <w:rPr>
      <w:rFonts w:ascii="Segoe UI" w:hAnsi="Segoe UI" w:cs="Segoe UI"/>
      <w:sz w:val="18"/>
      <w:szCs w:val="18"/>
    </w:rPr>
  </w:style>
  <w:style w:type="character" w:customStyle="1" w:styleId="ParagrafoelencoCarattere">
    <w:name w:val="Paragrafo elenco Carattere"/>
    <w:link w:val="Paragrafoelenco"/>
    <w:uiPriority w:val="34"/>
    <w:qFormat/>
    <w:locked/>
    <w:rsid w:val="00257A47"/>
  </w:style>
  <w:style w:type="character" w:styleId="Rimandocommento">
    <w:name w:val="annotation reference"/>
    <w:basedOn w:val="Carpredefinitoparagrafo"/>
    <w:uiPriority w:val="99"/>
    <w:semiHidden/>
    <w:unhideWhenUsed/>
    <w:qFormat/>
    <w:rsid w:val="00154096"/>
    <w:rPr>
      <w:sz w:val="16"/>
      <w:szCs w:val="16"/>
    </w:rPr>
  </w:style>
  <w:style w:type="character" w:customStyle="1" w:styleId="TestocommentoCarattere">
    <w:name w:val="Testo commento Carattere"/>
    <w:basedOn w:val="Carpredefinitoparagrafo"/>
    <w:link w:val="Testocommento"/>
    <w:uiPriority w:val="99"/>
    <w:semiHidden/>
    <w:qFormat/>
    <w:rsid w:val="00154096"/>
    <w:rPr>
      <w:sz w:val="20"/>
      <w:szCs w:val="20"/>
    </w:rPr>
  </w:style>
  <w:style w:type="character" w:customStyle="1" w:styleId="SoggettocommentoCarattere">
    <w:name w:val="Soggetto commento Carattere"/>
    <w:basedOn w:val="TestocommentoCarattere"/>
    <w:link w:val="Soggettocommento"/>
    <w:uiPriority w:val="99"/>
    <w:semiHidden/>
    <w:qFormat/>
    <w:rsid w:val="00154096"/>
    <w:rPr>
      <w:b/>
      <w:bCs/>
      <w:sz w:val="20"/>
      <w:szCs w:val="20"/>
    </w:rPr>
  </w:style>
  <w:style w:type="character" w:customStyle="1" w:styleId="Corpodeltesto2Carattere">
    <w:name w:val="Corpo del testo 2 Carattere"/>
    <w:basedOn w:val="Carpredefinitoparagrafo"/>
    <w:link w:val="Corpodeltesto2"/>
    <w:uiPriority w:val="99"/>
    <w:qFormat/>
    <w:rsid w:val="00371A70"/>
    <w:rPr>
      <w:rFonts w:ascii="Tahoma" w:eastAsia="Times New Roman" w:hAnsi="Tahoma" w:cs="Tahoma"/>
      <w:sz w:val="20"/>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2A5B0D"/>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A5B0D"/>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B082A"/>
    <w:pPr>
      <w:spacing w:after="0" w:line="240" w:lineRule="auto"/>
    </w:pPr>
    <w:rPr>
      <w:rFonts w:ascii="Segoe UI" w:hAnsi="Segoe UI" w:cs="Segoe UI"/>
      <w:sz w:val="18"/>
      <w:szCs w:val="18"/>
    </w:rPr>
  </w:style>
  <w:style w:type="paragraph" w:styleId="Paragrafoelenco">
    <w:name w:val="List Paragraph"/>
    <w:basedOn w:val="Normale"/>
    <w:link w:val="ParagrafoelencoCarattere"/>
    <w:uiPriority w:val="34"/>
    <w:qFormat/>
    <w:rsid w:val="007E407A"/>
    <w:pPr>
      <w:ind w:left="720"/>
      <w:contextualSpacing/>
    </w:pPr>
  </w:style>
  <w:style w:type="paragraph" w:styleId="Testocommento">
    <w:name w:val="annotation text"/>
    <w:basedOn w:val="Normale"/>
    <w:link w:val="TestocommentoCarattere"/>
    <w:uiPriority w:val="99"/>
    <w:semiHidden/>
    <w:unhideWhenUsed/>
    <w:qFormat/>
    <w:rsid w:val="00154096"/>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154096"/>
    <w:rPr>
      <w:b/>
      <w:bCs/>
    </w:rPr>
  </w:style>
  <w:style w:type="paragraph" w:styleId="Revisione">
    <w:name w:val="Revision"/>
    <w:uiPriority w:val="99"/>
    <w:semiHidden/>
    <w:qFormat/>
    <w:rsid w:val="00DC29C7"/>
    <w:rPr>
      <w:sz w:val="22"/>
    </w:rPr>
  </w:style>
  <w:style w:type="paragraph" w:styleId="Corpodeltesto2">
    <w:name w:val="Body Text 2"/>
    <w:basedOn w:val="Normale"/>
    <w:link w:val="Corpodeltesto2Carattere"/>
    <w:uiPriority w:val="99"/>
    <w:qFormat/>
    <w:rsid w:val="00371A70"/>
    <w:pPr>
      <w:spacing w:after="0" w:line="240" w:lineRule="auto"/>
    </w:pPr>
    <w:rPr>
      <w:rFonts w:ascii="Tahoma" w:eastAsia="Times New Roman" w:hAnsi="Tahoma" w:cs="Tahoma"/>
      <w:sz w:val="20"/>
      <w:szCs w:val="24"/>
      <w:lang w:eastAsia="it-IT"/>
    </w:r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0A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0C1020-FEFB-47C6-B188-77FF5AF2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24</Pages>
  <Words>4786</Words>
  <Characters>27283</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Chiara Falconieri</cp:lastModifiedBy>
  <cp:revision>22</cp:revision>
  <dcterms:created xsi:type="dcterms:W3CDTF">2023-05-11T09:17:00Z</dcterms:created>
  <dcterms:modified xsi:type="dcterms:W3CDTF">2023-11-10T11:01:00Z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