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D99F19000050003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miglioramento sismico Liceo </w:t>
            </w:r>
            <w:proofErr w:type="spellStart"/>
            <w:r>
              <w:rPr>
                <w:rFonts w:ascii="Garamond" w:eastAsia="Times New Roman" w:hAnsi="Garamond" w:cstheme="minorHAnsi"/>
                <w:lang w:eastAsia="it-IT"/>
              </w:rPr>
              <w:t>Romagnosi</w:t>
            </w:r>
            <w:proofErr w:type="spellEnd"/>
            <w:r>
              <w:rPr>
                <w:rFonts w:ascii="Garamond" w:eastAsia="Times New Roman" w:hAnsi="Garamond" w:cstheme="minorHAnsi"/>
                <w:lang w:eastAsia="it-IT"/>
              </w:rPr>
              <w:t xml:space="preserve"> 1° stralcio</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DF3DD7">
            <w:pPr>
              <w:spacing w:after="0" w:line="240" w:lineRule="auto"/>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sidRPr="00FA1513">
              <w:rPr>
                <w:rFonts w:ascii="Garamond" w:hAnsi="Garamond" w:cs="Arial"/>
              </w:rPr>
              <w:t>527.503,35 €</w:t>
            </w:r>
            <w:r>
              <w:rPr>
                <w:rFonts w:ascii="Garamond" w:hAnsi="Garamond" w:cs="Arial"/>
              </w:rPr>
              <w:t xml:space="preserve"> (€ 479.548,50 fondi PNRR + </w:t>
            </w:r>
            <w:r w:rsidRPr="00077946">
              <w:rPr>
                <w:rFonts w:ascii="Garamond" w:hAnsi="Garamond" w:cs="Arial"/>
              </w:rPr>
              <w:t>€ 47.954,85 fondi comma 370 L. 29 dicembre 2022 n. 197)</w:t>
            </w:r>
            <w:r>
              <w:rPr>
                <w:rFonts w:ascii="Garamond" w:hAnsi="Garamond" w:cs="Arial"/>
              </w:rPr>
              <w:t xml:space="preserve"> di cui </w:t>
            </w:r>
            <w:r w:rsidRPr="005E40C7">
              <w:rPr>
                <w:rFonts w:ascii="Garamond" w:hAnsi="Garamond" w:cs="Arial"/>
              </w:rPr>
              <w:t xml:space="preserve">IVA </w:t>
            </w:r>
            <w:r w:rsidRPr="00077946">
              <w:rPr>
                <w:rFonts w:ascii="Garamond" w:hAnsi="Garamond" w:cs="Arial"/>
              </w:rPr>
              <w:t>€</w:t>
            </w:r>
            <w:r w:rsidRPr="00014962">
              <w:rPr>
                <w:rFonts w:ascii="Garamond" w:hAnsi="Garamond" w:cs="Arial"/>
              </w:rPr>
              <w:t xml:space="preserve"> 50.342,91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€ 479.548,50 di cui IVA € 45.673,77</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Lavori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sidRPr="00774F6B">
              <w:rPr>
                <w:rFonts w:ascii="Garamond" w:eastAsia="Times New Roman" w:hAnsi="Garamond" w:cstheme="minorHAnsi"/>
                <w:lang w:eastAsia="it-IT"/>
              </w:rPr>
              <w:t>9960765B4D</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sidRPr="00774F6B">
              <w:rPr>
                <w:rFonts w:ascii="Garamond" w:eastAsia="Times New Roman" w:hAnsi="Garamond" w:cstheme="minorHAnsi"/>
                <w:lang w:eastAsia="it-IT"/>
              </w:rPr>
              <w:t>PROGETTO DI "MIGLIORAMENTO SISMICO LICEO ROMAGNOSI 1° STRALCIO" CUP D99F19000050003 (FIN. UE - NEXT GENERATION EU (M4-C1-I.3.3)) – LAVORI LOTTO INTERVENTI 2</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w:t>
            </w:r>
            <w:r w:rsidRPr="00DF3DD7">
              <w:rPr>
                <w:rFonts w:ascii="Garamond" w:eastAsia="Times New Roman" w:hAnsi="Garamond" w:cstheme="minorHAnsi"/>
                <w:lang w:eastAsia="it-IT"/>
              </w:rPr>
              <w:t xml:space="preserve">RDO/ODA) - </w:t>
            </w:r>
            <w:r w:rsidR="00DF3DD7" w:rsidRPr="00DF3DD7">
              <w:rPr>
                <w:rFonts w:ascii="Garamond" w:eastAsia="Times New Roman" w:hAnsi="Garamond" w:cstheme="minorHAnsi"/>
                <w:bCs/>
                <w:lang w:eastAsia="it-IT"/>
              </w:rPr>
              <w:t>DD n. 1022 del 21/07/2023</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LICEO CLASSICO "G.D. ROMAGNOSI"</w:t>
            </w:r>
          </w:p>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Viale Maria Luigia n. 1 –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[13/06/2023 (avvio Trattativa diretta su SATER)]</w:t>
            </w:r>
          </w:p>
          <w:p w:rsidR="00774F6B" w:rsidRDefault="00774F6B" w:rsidP="00774F6B">
            <w:pPr>
              <w:spacing w:after="0" w:line="240" w:lineRule="auto"/>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 xml:space="preserve">data atto di affidamento </w:t>
            </w:r>
            <w:bookmarkStart w:id="0" w:name="_GoBack"/>
            <w:r>
              <w:rPr>
                <w:rFonts w:ascii="Garamond" w:eastAsia="Times New Roman" w:hAnsi="Garamond" w:cstheme="minorHAnsi"/>
                <w:b/>
                <w:bCs/>
                <w:color w:val="3465A4"/>
                <w:lang w:eastAsia="it-IT"/>
              </w:rPr>
              <w:t>adottando</w:t>
            </w:r>
            <w:bookmarkEnd w:id="0"/>
            <w:r>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774F6B">
              <w:t>€ 53.413,79, oltre a € 1.500,00 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774F6B">
              <w:rPr>
                <w:rFonts w:ascii="Garamond" w:eastAsia="Times New Roman" w:hAnsi="Garamond" w:cstheme="minorHAnsi"/>
                <w:lang w:eastAsia="it-IT"/>
              </w:rPr>
              <w:t>Bucci S.p.A. con sede in Via del Registro n. 11 – 43037 Lesignano de’ Bagni (PR) – P. I.V.A. e C.F. 01809170341</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DF3DD7" w:rsidP="00774F6B">
            <w:pPr>
              <w:spacing w:after="0" w:line="240" w:lineRule="auto"/>
              <w:rPr>
                <w:rFonts w:cstheme="minorHAnsi"/>
                <w:b/>
                <w:bCs/>
              </w:rPr>
            </w:pPr>
            <w:r w:rsidRPr="00DF3DD7">
              <w:rPr>
                <w:rFonts w:ascii="Garamond" w:eastAsia="Times New Roman" w:hAnsi="Garamond" w:cstheme="minorHAnsi"/>
                <w:lang w:eastAsia="it-IT"/>
              </w:rPr>
              <w:t>Lettera commerciale prot. 29854/2023 del 20/10/2023 (accettazione prot. 29884/2023 del 20/10/2023)</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16857" w:rsidRDefault="00816857" w:rsidP="00774F6B">
            <w:pPr>
              <w:spacing w:after="0" w:line="240" w:lineRule="auto"/>
            </w:pPr>
            <w:r w:rsidRPr="00B75418">
              <w:t>€ 53.413,00, oltre a € 1.500,00 per costi della sicurezza non soggetti a ribasso, oltre a I.V.A. di legge</w:t>
            </w:r>
            <w:r>
              <w:t xml:space="preserve"> (contratto)</w:t>
            </w:r>
          </w:p>
          <w:p w:rsidR="00774F6B" w:rsidRPr="00816857" w:rsidRDefault="00994F6D" w:rsidP="00774F6B">
            <w:pPr>
              <w:spacing w:after="0" w:line="240" w:lineRule="auto"/>
            </w:pPr>
            <w:r>
              <w:t xml:space="preserve">€ </w:t>
            </w:r>
            <w:r w:rsidRPr="00994F6D">
              <w:t>53.395,63</w:t>
            </w:r>
            <w:r w:rsidR="00B75418" w:rsidRPr="00B75418">
              <w:t>, oltre a € 1.500,00 per costi della sicurezza non soggetti a ribasso, oltre a I.V.A. di legge</w:t>
            </w:r>
            <w:r w:rsidR="00816857">
              <w:t xml:space="preserve"> (variante)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16857" w:rsidRDefault="00816857" w:rsidP="00774F6B">
            <w:pPr>
              <w:spacing w:after="0" w:line="240" w:lineRule="auto"/>
              <w:rPr>
                <w:lang w:eastAsia="it-IT"/>
              </w:rPr>
            </w:pPr>
            <w:r w:rsidRPr="00B75418">
              <w:rPr>
                <w:lang w:eastAsia="it-IT"/>
              </w:rPr>
              <w:t>€ 5.491,30</w:t>
            </w:r>
            <w:r>
              <w:rPr>
                <w:lang w:eastAsia="it-IT"/>
              </w:rPr>
              <w:t xml:space="preserve"> </w:t>
            </w:r>
            <w:r>
              <w:t>(contratto)</w:t>
            </w:r>
          </w:p>
          <w:p w:rsidR="00774F6B" w:rsidRPr="00B75418" w:rsidRDefault="00774F6B" w:rsidP="00774F6B">
            <w:pPr>
              <w:spacing w:after="0" w:line="240" w:lineRule="auto"/>
            </w:pPr>
            <w:r w:rsidRPr="00B75418">
              <w:rPr>
                <w:lang w:eastAsia="it-IT"/>
              </w:rPr>
              <w:t xml:space="preserve">€ </w:t>
            </w:r>
            <w:r w:rsidR="00994F6D" w:rsidRPr="00994F6D">
              <w:rPr>
                <w:lang w:eastAsia="it-IT"/>
              </w:rPr>
              <w:t>5.489,56</w:t>
            </w:r>
            <w:r w:rsidR="00816857">
              <w:rPr>
                <w:lang w:eastAsia="it-IT"/>
              </w:rPr>
              <w:t xml:space="preserve"> </w:t>
            </w:r>
            <w:r w:rsidR="00816857">
              <w:t>(variante)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16857" w:rsidRDefault="00816857" w:rsidP="00816857">
            <w:pPr>
              <w:spacing w:after="0" w:line="240" w:lineRule="auto"/>
              <w:rPr>
                <w:lang w:eastAsia="it-IT"/>
              </w:rPr>
            </w:pPr>
            <w:r w:rsidRPr="00B75418">
              <w:rPr>
                <w:rFonts w:eastAsia="Calibri"/>
                <w:lang w:eastAsia="it-IT"/>
              </w:rPr>
              <w:t>€ 60.404,30 (I.V.A. di legge 10 % compresa)</w:t>
            </w:r>
            <w:r>
              <w:t xml:space="preserve"> - contratto</w:t>
            </w:r>
          </w:p>
          <w:p w:rsidR="00774F6B" w:rsidRPr="00B75418" w:rsidRDefault="00994F6D" w:rsidP="00774F6B">
            <w:pPr>
              <w:spacing w:after="0" w:line="240" w:lineRule="auto"/>
              <w:rPr>
                <w:rFonts w:cstheme="minorHAnsi"/>
              </w:rPr>
            </w:pPr>
            <w:r w:rsidRPr="00994F6D">
              <w:rPr>
                <w:rFonts w:eastAsia="Calibri"/>
                <w:lang w:eastAsia="it-IT"/>
              </w:rPr>
              <w:t xml:space="preserve">€ 60.385,20 </w:t>
            </w:r>
            <w:r w:rsidR="00B75418" w:rsidRPr="00B75418">
              <w:rPr>
                <w:rFonts w:eastAsia="Calibri"/>
                <w:lang w:eastAsia="it-IT"/>
              </w:rPr>
              <w:t>(I.V.A. di legge 10 % compresa)</w:t>
            </w:r>
            <w:r w:rsidR="00816857">
              <w:t xml:space="preserve"> - variante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B75418" w:rsidRDefault="00774F6B" w:rsidP="00774F6B">
            <w:pPr>
              <w:spacing w:after="0" w:line="240" w:lineRule="auto"/>
              <w:jc w:val="right"/>
              <w:rPr>
                <w:rFonts w:ascii="Garamond" w:eastAsia="Times New Roman" w:hAnsi="Garamond" w:cstheme="minorHAnsi"/>
                <w:b/>
                <w:bCs/>
                <w:color w:val="FFFFFF"/>
                <w:lang w:eastAsia="it-IT"/>
              </w:rPr>
            </w:pPr>
            <w:r w:rsidRPr="00B75418">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994F6D" w:rsidP="00774F6B">
            <w:pPr>
              <w:spacing w:after="0" w:line="240" w:lineRule="auto"/>
              <w:rPr>
                <w:rFonts w:ascii="Garamond" w:eastAsia="Times New Roman" w:hAnsi="Garamond" w:cstheme="minorHAnsi"/>
                <w:lang w:eastAsia="it-IT"/>
              </w:rPr>
            </w:pPr>
            <w:r w:rsidRPr="00B75418">
              <w:rPr>
                <w:rFonts w:ascii="Garamond" w:eastAsia="Times New Roman" w:hAnsi="Garamond" w:cstheme="minorHAnsi"/>
                <w:color w:val="000000"/>
                <w:lang w:eastAsia="it-IT"/>
              </w:rPr>
              <w:t>0,0</w:t>
            </w:r>
            <w:r>
              <w:rPr>
                <w:lang w:eastAsia="it-IT"/>
              </w:rPr>
              <w:t>0</w:t>
            </w:r>
            <w:r w:rsidRPr="00B75418">
              <w:rPr>
                <w:rFonts w:ascii="Garamond" w:eastAsia="Times New Roman" w:hAnsi="Garamond" w:cstheme="minorHAnsi"/>
                <w:color w:val="000000"/>
                <w:lang w:eastAsia="it-IT"/>
              </w:rPr>
              <w:t xml:space="preserve"> %</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 xml:space="preserve">Dichiarazioni fornite all’interno della Piattaforma digitale utilizzata per la procedura di affidamento e/o </w:t>
            </w:r>
            <w:r>
              <w:rPr>
                <w:rFonts w:ascii="Garamond" w:eastAsia="Times New Roman" w:hAnsi="Garamond" w:cs="Times New Roman"/>
                <w:b/>
                <w:bCs/>
                <w:color w:val="000000"/>
                <w:lang w:eastAsia="it-IT"/>
              </w:rPr>
              <w:lastRenderedPageBreak/>
              <w:t>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774F6B"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Elaborati analitici e grafici </w:t>
            </w:r>
            <w:r w:rsidR="002B7D8F">
              <w:rPr>
                <w:rFonts w:ascii="Garamond" w:eastAsia="Times New Roman" w:hAnsi="Garamond" w:cs="Times New Roman"/>
                <w:b/>
                <w:bCs/>
                <w:color w:val="000000"/>
                <w:lang w:eastAsia="it-IT"/>
              </w:rPr>
              <w:t>relativi al progetto approvato</w:t>
            </w:r>
            <w:r>
              <w:rPr>
                <w:rFonts w:ascii="Garamond" w:eastAsia="Times New Roman" w:hAnsi="Garamond" w:cs="Times New Roman"/>
                <w:b/>
                <w:bCs/>
                <w:color w:val="000000"/>
                <w:lang w:eastAsia="it-IT"/>
              </w:rPr>
              <w:t>;</w:t>
            </w:r>
          </w:p>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DF3DD7" w:rsidRDefault="002B7D8F" w:rsidP="002B7D8F">
            <w:pPr>
              <w:spacing w:after="0" w:line="240" w:lineRule="auto"/>
              <w:jc w:val="center"/>
              <w:rPr>
                <w:rFonts w:ascii="Garamond" w:eastAsia="Times New Roman" w:hAnsi="Garamond" w:cs="Times New Roman"/>
                <w:color w:val="000000"/>
                <w:lang w:eastAsia="it-IT"/>
              </w:rPr>
            </w:pPr>
            <w:r w:rsidRPr="00DF3DD7">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DF3DD7" w:rsidRDefault="002B7D8F" w:rsidP="002B7D8F">
            <w:pPr>
              <w:spacing w:after="0" w:line="240" w:lineRule="auto"/>
              <w:jc w:val="both"/>
              <w:rPr>
                <w:rFonts w:ascii="Garamond" w:eastAsia="Times New Roman" w:hAnsi="Garamond" w:cs="Times New Roman"/>
                <w:color w:val="000000"/>
                <w:lang w:eastAsia="it-IT"/>
              </w:rPr>
            </w:pPr>
            <w:r w:rsidRPr="00DF3DD7">
              <w:rPr>
                <w:rFonts w:ascii="Garamond" w:eastAsia="Times New Roman" w:hAnsi="Garamond" w:cs="Times New Roman"/>
                <w:color w:val="000000"/>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DF3DD7" w:rsidRDefault="002B7D8F" w:rsidP="002B7D8F">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DF3DD7"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DF3DD7"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DF3DD7" w:rsidRDefault="002B7D8F" w:rsidP="002B7D8F">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color w:val="000000"/>
                <w:lang w:eastAsia="it-IT"/>
              </w:rPr>
              <w:t>Elaborati analitici e grafici relativi al progetto approvato;</w:t>
            </w:r>
          </w:p>
          <w:p w:rsidR="002B7D8F" w:rsidRPr="00DF3DD7" w:rsidRDefault="002B7D8F" w:rsidP="002B7D8F">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DF3DD7" w:rsidRDefault="002B7D8F" w:rsidP="002B7D8F">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color w:val="000000"/>
                <w:lang w:eastAsia="it-IT"/>
              </w:rPr>
              <w:t>Regime 2</w:t>
            </w:r>
          </w:p>
          <w:p w:rsidR="00B75418" w:rsidRPr="00DF3DD7" w:rsidRDefault="00B75418" w:rsidP="00B75418">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color w:val="000000"/>
                <w:lang w:eastAsia="it-IT"/>
              </w:rPr>
              <w:t>Scheda 2 - Ristrutturazioni e riqualificazioni di edifici</w:t>
            </w:r>
          </w:p>
          <w:p w:rsidR="00B75418" w:rsidRPr="00DF3DD7" w:rsidRDefault="00B75418" w:rsidP="002B7D8F">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color w:val="000000"/>
                <w:lang w:eastAsia="it-IT"/>
              </w:rPr>
              <w:t>residenziali e non residenziali</w:t>
            </w:r>
          </w:p>
          <w:p w:rsidR="002B7D8F" w:rsidRPr="00DF3DD7" w:rsidRDefault="002B7D8F" w:rsidP="002B7D8F">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color w:val="000000"/>
                <w:lang w:eastAsia="it-IT"/>
              </w:rPr>
              <w:t>Scheda 5 - Interventi edili e cantieristica generica non connessi 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Pr="00DF3DD7" w:rsidRDefault="002B7D8F" w:rsidP="002B7D8F">
            <w:pPr>
              <w:spacing w:after="0" w:line="240" w:lineRule="auto"/>
              <w:rPr>
                <w:rFonts w:ascii="Garamond" w:eastAsia="Times New Roman" w:hAnsi="Garamond" w:cs="Times New Roman"/>
                <w:color w:val="000000"/>
                <w:sz w:val="20"/>
                <w:lang w:eastAsia="it-IT"/>
              </w:rPr>
            </w:pPr>
            <w:r w:rsidRPr="00DF3DD7">
              <w:rPr>
                <w:rFonts w:ascii="Garamond" w:eastAsia="Times New Roman" w:hAnsi="Garamond" w:cs="Times New Roman"/>
                <w:color w:val="000000"/>
                <w:sz w:val="20"/>
                <w:lang w:eastAsia="it-IT"/>
              </w:rPr>
              <w:t>•Progetto/Scheda progettuale</w:t>
            </w:r>
          </w:p>
          <w:p w:rsidR="002B7D8F" w:rsidRPr="00DF3DD7" w:rsidRDefault="002B7D8F" w:rsidP="002B7D8F">
            <w:pPr>
              <w:spacing w:after="0" w:line="240" w:lineRule="auto"/>
              <w:rPr>
                <w:rFonts w:ascii="Garamond" w:eastAsia="Times New Roman" w:hAnsi="Garamond" w:cs="Times New Roman"/>
                <w:color w:val="000000"/>
                <w:sz w:val="20"/>
                <w:lang w:eastAsia="it-IT"/>
              </w:rPr>
            </w:pPr>
            <w:r w:rsidRPr="00DF3DD7">
              <w:rPr>
                <w:rFonts w:ascii="Garamond" w:eastAsia="Times New Roman" w:hAnsi="Garamond" w:cs="Times New Roman"/>
                <w:color w:val="000000"/>
                <w:sz w:val="20"/>
                <w:lang w:eastAsia="it-IT"/>
              </w:rPr>
              <w:t>•Documentazione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alla “S</w:t>
            </w:r>
            <w:r w:rsidRPr="002B7D8F">
              <w:rPr>
                <w:rFonts w:ascii="Garamond" w:eastAsia="Times New Roman" w:hAnsi="Garamond" w:cs="Times New Roman"/>
                <w:b/>
                <w:bCs/>
                <w:color w:val="000000"/>
                <w:lang w:eastAsia="it-IT"/>
              </w:rPr>
              <w:t>cheda 5 - Interventi edili e cantieristica generica non connessi</w:t>
            </w:r>
            <w:r>
              <w:rPr>
                <w:rFonts w:ascii="Garamond" w:eastAsia="Times New Roman" w:hAnsi="Garamond" w:cs="Times New Roman"/>
                <w:b/>
                <w:bCs/>
                <w:color w:val="000000"/>
                <w:lang w:eastAsia="it-IT"/>
              </w:rPr>
              <w:t xml:space="preserve"> </w:t>
            </w:r>
            <w:r w:rsidRPr="002B7D8F">
              <w:rPr>
                <w:rFonts w:ascii="Garamond" w:eastAsia="Times New Roman" w:hAnsi="Garamond" w:cs="Times New Roman"/>
                <w:b/>
                <w:bCs/>
                <w:color w:val="000000"/>
                <w:lang w:eastAsia="it-IT"/>
              </w:rPr>
              <w:t>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DF3DD7"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DF3DD7" w:rsidRDefault="00DF3DD7" w:rsidP="002B7D8F">
            <w:pPr>
              <w:spacing w:after="0" w:line="240" w:lineRule="auto"/>
              <w:rPr>
                <w:rFonts w:ascii="Garamond" w:eastAsia="Times New Roman" w:hAnsi="Garamond" w:cs="Times New Roman"/>
                <w:b/>
                <w:bCs/>
                <w:lang w:eastAsia="it-IT"/>
              </w:rPr>
            </w:pPr>
            <w:r w:rsidRPr="00DF3DD7">
              <w:rPr>
                <w:rFonts w:ascii="Garamond" w:eastAsia="Times New Roman" w:hAnsi="Garamond" w:cs="Times New Roman"/>
                <w:b/>
                <w:bCs/>
                <w:lang w:eastAsia="it-IT"/>
              </w:rPr>
              <w:t>Contratto (Lettera commerciale prot. 29854/2023 del 20/10/2023 (accettazione prot. 29884/2023 del 20/10/2023))</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DF3DD7" w:rsidRDefault="00DF3DD7" w:rsidP="002B7D8F">
            <w:pPr>
              <w:spacing w:after="0" w:line="240" w:lineRule="auto"/>
              <w:rPr>
                <w:rFonts w:ascii="Garamond" w:eastAsia="Times New Roman" w:hAnsi="Garamond" w:cstheme="minorHAnsi"/>
                <w:b/>
                <w:bCs/>
                <w:lang w:eastAsia="it-IT"/>
              </w:rPr>
            </w:pPr>
            <w:r w:rsidRPr="00DF3DD7">
              <w:rPr>
                <w:rFonts w:ascii="Garamond" w:eastAsia="Times New Roman" w:hAnsi="Garamond" w:cstheme="minorHAnsi"/>
                <w:b/>
                <w:bCs/>
                <w:lang w:eastAsia="it-IT"/>
              </w:rPr>
              <w:t>Art. 8</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3F5AA7" w:rsidRDefault="00B75418" w:rsidP="002B7D8F">
            <w:pPr>
              <w:spacing w:after="0" w:line="240" w:lineRule="auto"/>
              <w:rPr>
                <w:rFonts w:ascii="Garamond" w:eastAsia="Times New Roman" w:hAnsi="Garamond" w:cstheme="minorHAnsi"/>
                <w:b/>
                <w:bCs/>
                <w:lang w:eastAsia="it-IT"/>
              </w:rPr>
            </w:pPr>
            <w:r w:rsidRPr="003F5AA7">
              <w:rPr>
                <w:rFonts w:ascii="Garamond" w:eastAsia="Times New Roman" w:hAnsi="Garamond" w:cstheme="minorHAnsi"/>
                <w:b/>
                <w:bCs/>
                <w:lang w:eastAsia="it-IT"/>
              </w:rPr>
              <w:t>Criteri ambientali minimi NON in contrasto con normative tecniche di settore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B75418"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3F5AA7" w:rsidP="00B75418">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Verbali di verifica/validazione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lastRenderedPageBreak/>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L’affidamento è avvenuto nel rispetto dei principi generali del codice quali rotazione, economicità, efficacia, tempestività, correttezza, libera concorrenza, non discriminazione e parità di trattamento, trasparenza e pubblicità, </w:t>
            </w:r>
            <w:r>
              <w:rPr>
                <w:rFonts w:ascii="Garamond" w:eastAsia="Times New Roman" w:hAnsi="Garamond" w:cs="Times New Roman"/>
                <w:color w:val="000000"/>
                <w:lang w:eastAsia="it-IT"/>
              </w:rPr>
              <w:lastRenderedPageBreak/>
              <w:t>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B75418" w:rsidRDefault="00B75418" w:rsidP="00B75418">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 xml:space="preserve">Documentazione relativa alla procedura di </w:t>
            </w:r>
            <w:r w:rsidRPr="003F5AA7">
              <w:rPr>
                <w:rFonts w:ascii="Garamond" w:eastAsia="Times New Roman" w:hAnsi="Garamond" w:cs="Times New Roman"/>
                <w:b/>
                <w:bCs/>
                <w:color w:val="000000"/>
                <w:lang w:eastAsia="it-IT"/>
              </w:rPr>
              <w:lastRenderedPageBreak/>
              <w:t>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valutazione del prezzo è conforme a quanto disposto dall’art. 95 del d. lgs. n. 50/2016 (offerte inferiori a base di gara, non condizionate, non </w:t>
            </w:r>
            <w:r>
              <w:rPr>
                <w:rFonts w:ascii="Garamond" w:eastAsia="Times New Roman" w:hAnsi="Garamond" w:cs="Times New Roman"/>
                <w:color w:val="000000"/>
                <w:lang w:eastAsia="it-IT"/>
              </w:rPr>
              <w:lastRenderedPageBreak/>
              <w:t>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B75418"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B75418"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Atto di affidamento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B75418" w:rsidRDefault="00B75418" w:rsidP="00B75418">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B75418" w:rsidTr="00E93A9B">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Informativa antimafia per contratti superiori alla soglia comunitaria (IVA esclusa);</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E93A9B" w:rsidP="00B75418">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lang w:eastAsia="it-IT"/>
              </w:rPr>
              <w:t xml:space="preserve">Contratto (Lettera commerciale prot. 29854/2023 del 20/10/2023 (accettazione prot. </w:t>
            </w:r>
            <w:r w:rsidRPr="00DF3DD7">
              <w:rPr>
                <w:rFonts w:ascii="Garamond" w:eastAsia="Times New Roman" w:hAnsi="Garamond" w:cs="Times New Roman"/>
                <w:b/>
                <w:bCs/>
                <w:lang w:eastAsia="it-IT"/>
              </w:rPr>
              <w:lastRenderedPageBreak/>
              <w:t>29884/2023 del 20/10/2023))</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•Comunicazione antimafia in corso di validità</w:t>
            </w:r>
          </w:p>
        </w:tc>
      </w:tr>
      <w:tr w:rsidR="00E93A9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lang w:eastAsia="it-IT"/>
              </w:rPr>
              <w:t>Contratto (Lettera commerciale prot. 29854/2023 del 20/10/2023 (accettazione prot. 29884/2023 del 20/10/2023))</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93A9B" w:rsidRDefault="00E93A9B" w:rsidP="00E93A9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E93A9B" w:rsidRDefault="00E93A9B" w:rsidP="00E93A9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E93A9B" w:rsidRDefault="00E93A9B" w:rsidP="00E93A9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E93A9B" w:rsidRDefault="00E93A9B" w:rsidP="00E93A9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E93A9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lang w:eastAsia="it-IT"/>
              </w:rPr>
              <w:t>Contratto (Lettera commerciale prot. 29854/2023 del 20/10/2023 (accettazione prot. 29884/2023 del 20/10/2023))</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93A9B" w:rsidRDefault="00E93A9B" w:rsidP="00E93A9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E93A9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lang w:eastAsia="it-IT"/>
              </w:rPr>
              <w:t>Contratto (Lettera commerciale prot. 29854/2023 del 20/10/2023 (accettazione prot. 29884/2023 del 20/10/2023))</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93A9B" w:rsidRDefault="00E93A9B" w:rsidP="00E93A9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E93A9B" w:rsidRDefault="00E93A9B" w:rsidP="00E93A9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E93A9B" w:rsidRDefault="00E93A9B" w:rsidP="00E93A9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E93A9B"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lang w:eastAsia="it-IT"/>
              </w:rPr>
              <w:t>Contratto (Lettera commerciale prot. 29854/2023 del 20/10/2023 (accettazione prot. 29884/2023 del 20/10/2023))</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B" w:rsidRDefault="00E93A9B" w:rsidP="00E93A9B">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93A9B" w:rsidRDefault="00E93A9B" w:rsidP="00E93A9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E53C95"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E53C95" w:rsidRDefault="00E53C95" w:rsidP="00E53C95">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E53C95" w:rsidRDefault="00E53C95" w:rsidP="00E53C95">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E53C95" w:rsidRDefault="00E53C95" w:rsidP="00E53C95">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E53C95" w:rsidRDefault="00E53C95" w:rsidP="00E53C95">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E53C95" w:rsidRDefault="00E53C95" w:rsidP="00E53C95">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lang w:eastAsia="it-IT"/>
              </w:rPr>
              <w:t>Contratto (Lettera commerciale prot. 29854/2023 del 20/10/2023 (accettazione prot. 29884/2023 del 20/10/2023))</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53C95" w:rsidRDefault="00E53C95" w:rsidP="00E53C95">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lastRenderedPageBreak/>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E53C95" w:rsidRDefault="00B75418" w:rsidP="00B75418">
            <w:pPr>
              <w:spacing w:after="0" w:line="240" w:lineRule="auto"/>
              <w:rPr>
                <w:rFonts w:ascii="Garamond" w:eastAsia="Times New Roman" w:hAnsi="Garamond" w:cs="Times New Roman"/>
                <w:lang w:eastAsia="it-IT"/>
              </w:rPr>
            </w:pPr>
            <w:r w:rsidRPr="00E53C95">
              <w:rPr>
                <w:rFonts w:ascii="Garamond" w:eastAsia="Times New Roman" w:hAnsi="Garamond" w:cs="Times New Roman"/>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E53C95" w:rsidRDefault="00E53C95" w:rsidP="00B75418">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E53C95" w:rsidRDefault="00B75418" w:rsidP="00B75418">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E53C95" w:rsidRDefault="00B75418" w:rsidP="00B75418">
            <w:pPr>
              <w:spacing w:after="0" w:line="240" w:lineRule="auto"/>
              <w:rPr>
                <w:rFonts w:ascii="Garamond" w:eastAsia="Times New Roman" w:hAnsi="Garamond" w:cs="Times New Roman"/>
                <w:b/>
                <w:bCs/>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E53C95" w:rsidRDefault="00E53C95" w:rsidP="00B75418">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Verbale di inizio attività/consegna dei lavori</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E53C95" w:rsidRDefault="00B75418" w:rsidP="00B75418">
            <w:pPr>
              <w:spacing w:after="0" w:line="240" w:lineRule="auto"/>
              <w:rPr>
                <w:rFonts w:ascii="Garamond" w:eastAsia="Times New Roman" w:hAnsi="Garamond" w:cs="Times New Roman"/>
                <w:b/>
                <w:bCs/>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Pr="00E53C95" w:rsidRDefault="00B75418" w:rsidP="00B75418">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Verbale di inizio attività/consegna dei lavori</w:t>
            </w:r>
          </w:p>
        </w:tc>
      </w:tr>
      <w:tr w:rsidR="00E53C95"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Contratto (Lettera commerciale prot. 29854/2023 del 20/10/2023 (accettazione prot. 29884/2023 del 20/10/2023))</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pPr>
          </w:p>
        </w:tc>
        <w:tc>
          <w:tcPr>
            <w:tcW w:w="2621" w:type="dxa"/>
            <w:tcBorders>
              <w:top w:val="single" w:sz="4" w:space="0" w:color="000000"/>
              <w:left w:val="single" w:sz="4" w:space="0" w:color="000000"/>
              <w:bottom w:val="single" w:sz="4" w:space="0" w:color="000000"/>
              <w:right w:val="single" w:sz="4" w:space="0" w:color="000000"/>
            </w:tcBorders>
            <w:vAlign w:val="center"/>
          </w:tcPr>
          <w:p w:rsidR="00E53C95" w:rsidRPr="00E53C95" w:rsidRDefault="00E53C95" w:rsidP="00E53C95">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•Bando di gara</w:t>
            </w:r>
          </w:p>
          <w:p w:rsidR="00E53C95" w:rsidRPr="00E53C95" w:rsidRDefault="00E53C95" w:rsidP="00E53C95">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•Contratto</w:t>
            </w:r>
          </w:p>
        </w:tc>
      </w:tr>
      <w:tr w:rsidR="00E53C95"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lang w:eastAsia="it-IT"/>
              </w:rPr>
            </w:pPr>
            <w:r w:rsidRPr="00E53C95">
              <w:rPr>
                <w:rFonts w:ascii="Garamond" w:eastAsia="Times New Roman" w:hAnsi="Garamond" w:cs="Times New Roman"/>
                <w:b/>
                <w:bCs/>
                <w:lang w:eastAsia="it-IT"/>
              </w:rPr>
              <w:t>Atti sulle varianti/modifiche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53C95" w:rsidRPr="00E53C95" w:rsidRDefault="00E53C95" w:rsidP="00E53C95">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•Contratto</w:t>
            </w:r>
          </w:p>
          <w:p w:rsidR="00E53C95" w:rsidRPr="00E53C95" w:rsidRDefault="00E53C95" w:rsidP="00E53C95">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•Atti sulle varianti/modifiche</w:t>
            </w:r>
          </w:p>
        </w:tc>
      </w:tr>
      <w:tr w:rsidR="00E53C95"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lang w:eastAsia="it-IT"/>
              </w:rPr>
            </w:pPr>
            <w:r w:rsidRPr="00E53C95">
              <w:rPr>
                <w:rFonts w:ascii="Garamond" w:eastAsia="Times New Roman" w:hAnsi="Garamond" w:cs="Times New Roman"/>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53C95" w:rsidRPr="00E53C95" w:rsidRDefault="00E53C95" w:rsidP="00E53C95">
            <w:pPr>
              <w:spacing w:after="0" w:line="240" w:lineRule="auto"/>
              <w:rPr>
                <w:rFonts w:ascii="Garamond" w:eastAsia="Times New Roman" w:hAnsi="Garamond" w:cs="Times New Roman"/>
                <w:lang w:eastAsia="it-IT"/>
              </w:rPr>
            </w:pPr>
          </w:p>
        </w:tc>
      </w:tr>
      <w:tr w:rsidR="00E53C95"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Durata non modificata</w:t>
            </w:r>
          </w:p>
        </w:tc>
        <w:tc>
          <w:tcPr>
            <w:tcW w:w="2621" w:type="dxa"/>
            <w:tcBorders>
              <w:top w:val="single" w:sz="4" w:space="0" w:color="000000"/>
              <w:left w:val="single" w:sz="4" w:space="0" w:color="000000"/>
              <w:bottom w:val="single" w:sz="4" w:space="0" w:color="000000"/>
              <w:right w:val="single" w:sz="4" w:space="0" w:color="000000"/>
            </w:tcBorders>
            <w:vAlign w:val="center"/>
          </w:tcPr>
          <w:p w:rsidR="00E53C95" w:rsidRPr="00E53C95" w:rsidRDefault="00E53C95" w:rsidP="00E53C95">
            <w:pPr>
              <w:spacing w:after="0" w:line="240" w:lineRule="auto"/>
              <w:rPr>
                <w:rFonts w:ascii="Garamond" w:eastAsia="Times New Roman" w:hAnsi="Garamond" w:cs="Times New Roman"/>
                <w:lang w:eastAsia="it-IT"/>
              </w:rPr>
            </w:pPr>
          </w:p>
        </w:tc>
      </w:tr>
      <w:tr w:rsidR="00E53C95"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Documentazione contabile</w:t>
            </w:r>
          </w:p>
        </w:tc>
        <w:tc>
          <w:tcPr>
            <w:tcW w:w="2621" w:type="dxa"/>
            <w:tcBorders>
              <w:top w:val="single" w:sz="4" w:space="0" w:color="000000"/>
              <w:left w:val="single" w:sz="4" w:space="0" w:color="000000"/>
              <w:bottom w:val="single" w:sz="4" w:space="0" w:color="000000"/>
              <w:right w:val="single" w:sz="4" w:space="0" w:color="000000"/>
            </w:tcBorders>
            <w:vAlign w:val="center"/>
          </w:tcPr>
          <w:p w:rsidR="00E53C95" w:rsidRPr="00E53C95" w:rsidRDefault="00E53C95" w:rsidP="00E53C95">
            <w:pPr>
              <w:spacing w:after="0" w:line="240" w:lineRule="auto"/>
              <w:rPr>
                <w:rFonts w:ascii="Garamond" w:eastAsia="Times New Roman" w:hAnsi="Garamond" w:cs="Times New Roman"/>
                <w:lang w:eastAsia="it-IT"/>
              </w:rPr>
            </w:pPr>
          </w:p>
        </w:tc>
      </w:tr>
      <w:tr w:rsidR="00E53C95"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lang w:eastAsia="it-IT"/>
              </w:rPr>
            </w:pPr>
            <w:r w:rsidRPr="00E53C95">
              <w:rPr>
                <w:rFonts w:ascii="Garamond" w:eastAsia="Times New Roman" w:hAnsi="Garamond" w:cs="Times New Roman"/>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lang w:eastAsia="it-IT"/>
              </w:rPr>
            </w:pPr>
            <w:r w:rsidRPr="00E53C95">
              <w:rPr>
                <w:rFonts w:ascii="Garamond" w:eastAsia="Times New Roman" w:hAnsi="Garamond" w:cs="Times New Roman"/>
                <w:b/>
                <w:bCs/>
                <w:lang w:eastAsia="it-IT"/>
              </w:rPr>
              <w:t>Verbale di fine attività</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53C95" w:rsidRPr="00E53C95" w:rsidRDefault="00E53C95" w:rsidP="00E53C95">
            <w:pPr>
              <w:spacing w:after="0" w:line="240" w:lineRule="auto"/>
              <w:rPr>
                <w:rFonts w:ascii="Garamond" w:eastAsia="Times New Roman" w:hAnsi="Garamond" w:cs="Times New Roman"/>
                <w:lang w:eastAsia="it-IT"/>
              </w:rPr>
            </w:pPr>
          </w:p>
        </w:tc>
      </w:tr>
      <w:tr w:rsidR="00E53C95"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lang w:eastAsia="it-IT"/>
              </w:rPr>
            </w:pPr>
            <w:r w:rsidRPr="00E53C95">
              <w:rPr>
                <w:rFonts w:ascii="Garamond" w:eastAsia="Times New Roman" w:hAnsi="Garamond" w:cs="Times New Roman"/>
                <w:b/>
                <w:lang w:eastAsia="it-IT"/>
              </w:rPr>
              <w:t>Certificato di regolare esecuzione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53C95" w:rsidRPr="00E53C95" w:rsidRDefault="00E53C95" w:rsidP="00E53C95">
            <w:pPr>
              <w:spacing w:after="0" w:line="240" w:lineRule="auto"/>
              <w:rPr>
                <w:rFonts w:ascii="Garamond" w:eastAsia="Times New Roman" w:hAnsi="Garamond" w:cs="Times New Roman"/>
                <w:lang w:eastAsia="it-IT"/>
              </w:rPr>
            </w:pPr>
          </w:p>
        </w:tc>
      </w:tr>
      <w:tr w:rsidR="00E53C95"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E53C95" w:rsidRDefault="00E53C95" w:rsidP="00E53C95">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E53C95" w:rsidRDefault="00E53C95" w:rsidP="00E53C95">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E53C95" w:rsidRDefault="00E53C95" w:rsidP="00E53C95">
            <w:pPr>
              <w:spacing w:after="0" w:line="240" w:lineRule="auto"/>
              <w:rPr>
                <w:rFonts w:ascii="Garamond" w:eastAsia="Times New Roman" w:hAnsi="Garamond" w:cs="Times New Roman"/>
                <w:b/>
                <w:bCs/>
                <w:lang w:eastAsia="it-IT"/>
              </w:rPr>
            </w:pPr>
          </w:p>
        </w:tc>
      </w:tr>
      <w:tr w:rsidR="00E53C95"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Default="00E53C95" w:rsidP="00E53C9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lang w:eastAsia="it-IT"/>
              </w:rPr>
            </w:pPr>
            <w:r w:rsidRPr="00E53C95">
              <w:rPr>
                <w:rFonts w:ascii="Garamond" w:eastAsia="Times New Roman" w:hAnsi="Garamond" w:cs="Times New Roman"/>
                <w:b/>
                <w:lang w:eastAsia="it-IT"/>
              </w:rPr>
              <w:t>Fascicolo e documenti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95" w:rsidRPr="00E53C95" w:rsidRDefault="00E53C95" w:rsidP="00E53C95">
            <w:pPr>
              <w:spacing w:after="0" w:line="240" w:lineRule="auto"/>
              <w:rPr>
                <w:rFonts w:ascii="Garamond" w:eastAsia="Times New Roman" w:hAnsi="Garamond" w:cs="Times New Roman"/>
                <w:b/>
                <w:bCs/>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E53C95" w:rsidRPr="00E53C95" w:rsidRDefault="00E53C95" w:rsidP="00E53C95">
            <w:pPr>
              <w:spacing w:after="0" w:line="240" w:lineRule="auto"/>
              <w:rPr>
                <w:rFonts w:ascii="Garamond" w:eastAsia="Times New Roman" w:hAnsi="Garamond" w:cs="Times New Roman"/>
                <w:lang w:eastAsia="it-IT"/>
              </w:rPr>
            </w:pPr>
            <w:r w:rsidRPr="00E53C95">
              <w:rPr>
                <w:rFonts w:ascii="Garamond" w:eastAsia="Times New Roman" w:hAnsi="Garamond" w:cs="Times New Roman"/>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lastRenderedPageBreak/>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994F6D">
            <w:pPr>
              <w:spacing w:after="0" w:line="240" w:lineRule="auto"/>
              <w:jc w:val="center"/>
            </w:pPr>
            <w:r w:rsidRPr="00994F6D">
              <w:rPr>
                <w:rFonts w:ascii="Garamond" w:eastAsia="Times New Roman" w:hAnsi="Garamond" w:cs="Times New Roman"/>
                <w:bCs/>
                <w:lang w:eastAsia="it-IT"/>
              </w:rPr>
              <w:t>€ 60.385,20</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994F6D">
            <w:pPr>
              <w:spacing w:after="0" w:line="240" w:lineRule="auto"/>
              <w:jc w:val="center"/>
            </w:pPr>
            <w:r w:rsidRPr="00994F6D">
              <w:rPr>
                <w:rFonts w:ascii="Garamond" w:eastAsia="Times New Roman" w:hAnsi="Garamond" w:cs="Times New Roman"/>
                <w:bCs/>
                <w:lang w:eastAsia="it-IT"/>
              </w:rPr>
              <w:t>€ 60.385,20</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774F6B">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E53C95">
            <w:pPr>
              <w:jc w:val="center"/>
            </w:pPr>
            <w:r>
              <w:rPr>
                <w:rFonts w:ascii="Garamond" w:hAnsi="Garamond" w:cs="Calibri"/>
                <w:color w:val="000000"/>
              </w:rPr>
              <w:t>04</w:t>
            </w:r>
            <w:r w:rsidR="00774F6B">
              <w:rPr>
                <w:rFonts w:ascii="Garamond" w:hAnsi="Garamond" w:cs="Calibri"/>
              </w:rPr>
              <w:t>/</w:t>
            </w:r>
            <w:r>
              <w:rPr>
                <w:rFonts w:ascii="Garamond" w:hAnsi="Garamond" w:cs="Calibri"/>
              </w:rPr>
              <w:t>12</w:t>
            </w:r>
            <w:r w:rsidR="00774F6B">
              <w:rPr>
                <w:rFonts w:ascii="Garamond" w:hAnsi="Garamond" w:cs="Calibri"/>
              </w:rPr>
              <w:t>/2023,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FEE" w:rsidRDefault="00796FEE">
      <w:pPr>
        <w:spacing w:after="0" w:line="240" w:lineRule="auto"/>
      </w:pPr>
      <w:r>
        <w:separator/>
      </w:r>
    </w:p>
  </w:endnote>
  <w:endnote w:type="continuationSeparator" w:id="0">
    <w:p w:rsidR="00796FEE" w:rsidRDefault="0079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DD7" w:rsidRDefault="00DF3DD7">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DF3DD7" w:rsidRDefault="00DF3D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FEE" w:rsidRDefault="00796FEE">
      <w:pPr>
        <w:spacing w:after="0" w:line="240" w:lineRule="auto"/>
      </w:pPr>
      <w:r>
        <w:separator/>
      </w:r>
    </w:p>
  </w:footnote>
  <w:footnote w:type="continuationSeparator" w:id="0">
    <w:p w:rsidR="00796FEE" w:rsidRDefault="0079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DD7" w:rsidRDefault="00DF3DD7">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DF3DD7" w:rsidRDefault="00DF3DD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10311C"/>
    <w:rsid w:val="00180822"/>
    <w:rsid w:val="002B7D8F"/>
    <w:rsid w:val="003F5AA7"/>
    <w:rsid w:val="00406E28"/>
    <w:rsid w:val="00650F88"/>
    <w:rsid w:val="00774F6B"/>
    <w:rsid w:val="007768AA"/>
    <w:rsid w:val="00796FEE"/>
    <w:rsid w:val="00816857"/>
    <w:rsid w:val="00994F6D"/>
    <w:rsid w:val="00B75418"/>
    <w:rsid w:val="00BC25C5"/>
    <w:rsid w:val="00BC4BB9"/>
    <w:rsid w:val="00BE1F6C"/>
    <w:rsid w:val="00C87025"/>
    <w:rsid w:val="00DF3DD7"/>
    <w:rsid w:val="00E53C95"/>
    <w:rsid w:val="00E93A9B"/>
    <w:rsid w:val="00E95643"/>
    <w:rsid w:val="00EC3E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C07E"/>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D60051-3DD9-4C3D-9F14-8CC06664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25</Pages>
  <Words>5034</Words>
  <Characters>28700</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28</cp:revision>
  <dcterms:created xsi:type="dcterms:W3CDTF">2023-05-11T09:17:00Z</dcterms:created>
  <dcterms:modified xsi:type="dcterms:W3CDTF">2023-12-04T07:48:00Z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