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DE0B39">
        <w:trPr>
          <w:trHeight w:val="313"/>
        </w:trPr>
        <w:tc>
          <w:tcPr>
            <w:tcW w:w="264" w:type="dxa"/>
            <w:shd w:val="clear" w:color="000000" w:fill="FFFFFF"/>
            <w:vAlign w:val="bottom"/>
          </w:tcPr>
          <w:p w:rsidR="00DE0B39" w:rsidRDefault="00B21DD0" w:rsidP="00B21DD0">
            <w:pPr>
              <w:spacing w:after="0" w:line="240" w:lineRule="auto"/>
              <w:jc w:val="both"/>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restart"/>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84"/>
        </w:trPr>
        <w:tc>
          <w:tcPr>
            <w:tcW w:w="264"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DE0B39" w:rsidRDefault="00DE0B39">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56"/>
        </w:trPr>
        <w:tc>
          <w:tcPr>
            <w:tcW w:w="264" w:type="dxa"/>
            <w:shd w:val="clear" w:color="000000" w:fill="FFFFFF"/>
            <w:vAlign w:val="center"/>
          </w:tcPr>
          <w:p w:rsidR="00DE0B39" w:rsidRDefault="00B21DD0">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430" w:type="dxa"/>
            <w:gridSpan w:val="7"/>
            <w:vMerge/>
            <w:vAlign w:val="center"/>
          </w:tcPr>
          <w:p w:rsidR="00DE0B39" w:rsidRDefault="00DE0B39">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73"/>
        </w:trPr>
        <w:tc>
          <w:tcPr>
            <w:tcW w:w="264"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DE0B39" w:rsidRDefault="00DE0B39">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73"/>
        </w:trPr>
        <w:tc>
          <w:tcPr>
            <w:tcW w:w="264"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30" w:type="dxa"/>
            <w:gridSpan w:val="7"/>
            <w:vMerge/>
            <w:vAlign w:val="center"/>
          </w:tcPr>
          <w:p w:rsidR="00DE0B39" w:rsidRDefault="00DE0B39">
            <w:pPr>
              <w:spacing w:after="0" w:line="240" w:lineRule="auto"/>
              <w:rPr>
                <w:rFonts w:ascii="Garamond" w:eastAsia="Times New Roman" w:hAnsi="Garamond" w:cstheme="minorHAnsi"/>
                <w:color w:val="FFFFFF"/>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273"/>
        </w:trPr>
        <w:tc>
          <w:tcPr>
            <w:tcW w:w="264"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80"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33"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96"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3"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50" w:type="dxa"/>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50"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DE0B39">
        <w:trPr>
          <w:trHeight w:val="535"/>
        </w:trPr>
        <w:tc>
          <w:tcPr>
            <w:tcW w:w="264" w:type="dxa"/>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4080" w:type="dxa"/>
            <w:gridSpan w:val="2"/>
            <w:tcBorders>
              <w:bottom w:val="single" w:sz="2" w:space="0" w:color="000000"/>
            </w:tcBorders>
            <w:shd w:val="clear" w:color="auto" w:fill="auto"/>
            <w:vAlign w:val="center"/>
          </w:tcPr>
          <w:p w:rsidR="00DE0B39" w:rsidRDefault="00DE0B39">
            <w:pPr>
              <w:spacing w:after="0" w:line="240" w:lineRule="auto"/>
              <w:rPr>
                <w:rFonts w:ascii="Garamond" w:eastAsia="Times New Roman" w:hAnsi="Garamond" w:cstheme="minorHAnsi"/>
                <w:color w:val="000000"/>
                <w:lang w:eastAsia="it-IT"/>
              </w:rPr>
            </w:pPr>
          </w:p>
        </w:tc>
        <w:tc>
          <w:tcPr>
            <w:tcW w:w="2433" w:type="dxa"/>
            <w:tcBorders>
              <w:bottom w:val="single" w:sz="2" w:space="0" w:color="000000"/>
            </w:tcBorders>
            <w:shd w:val="clear" w:color="auto" w:fill="auto"/>
            <w:vAlign w:val="center"/>
          </w:tcPr>
          <w:p w:rsidR="00DE0B39" w:rsidRDefault="00DE0B39">
            <w:pPr>
              <w:spacing w:after="0" w:line="240" w:lineRule="auto"/>
              <w:rPr>
                <w:rFonts w:ascii="Garamond" w:eastAsia="Times New Roman" w:hAnsi="Garamond" w:cstheme="minorHAnsi"/>
                <w:lang w:eastAsia="it-IT"/>
              </w:rPr>
            </w:pPr>
          </w:p>
        </w:tc>
        <w:tc>
          <w:tcPr>
            <w:tcW w:w="3596" w:type="dxa"/>
            <w:tcBorders>
              <w:bottom w:val="single" w:sz="2" w:space="0" w:color="000000"/>
            </w:tcBorders>
            <w:shd w:val="clear" w:color="auto" w:fill="auto"/>
            <w:vAlign w:val="center"/>
          </w:tcPr>
          <w:p w:rsidR="00DE0B39" w:rsidRDefault="00DE0B39">
            <w:pPr>
              <w:spacing w:after="0" w:line="240" w:lineRule="auto"/>
              <w:jc w:val="right"/>
              <w:rPr>
                <w:rFonts w:ascii="Garamond" w:eastAsia="Times New Roman" w:hAnsi="Garamond" w:cstheme="minorHAnsi"/>
                <w:lang w:eastAsia="it-IT"/>
              </w:rPr>
            </w:pPr>
          </w:p>
        </w:tc>
        <w:tc>
          <w:tcPr>
            <w:tcW w:w="423" w:type="dxa"/>
            <w:tcBorders>
              <w:bottom w:val="single" w:sz="2" w:space="0" w:color="000000"/>
            </w:tcBorders>
            <w:shd w:val="clear" w:color="auto" w:fill="auto"/>
            <w:vAlign w:val="center"/>
          </w:tcPr>
          <w:p w:rsidR="00DE0B39" w:rsidRDefault="00DE0B39">
            <w:pPr>
              <w:spacing w:after="0" w:line="240" w:lineRule="auto"/>
              <w:jc w:val="right"/>
              <w:rPr>
                <w:rFonts w:ascii="Garamond" w:eastAsia="Times New Roman" w:hAnsi="Garamond" w:cstheme="minorHAnsi"/>
                <w:lang w:eastAsia="it-IT"/>
              </w:rPr>
            </w:pPr>
          </w:p>
        </w:tc>
        <w:tc>
          <w:tcPr>
            <w:tcW w:w="2750" w:type="dxa"/>
            <w:tcBorders>
              <w:bottom w:val="single" w:sz="2" w:space="0" w:color="000000"/>
            </w:tcBorders>
            <w:shd w:val="clear" w:color="auto" w:fill="auto"/>
            <w:vAlign w:val="center"/>
          </w:tcPr>
          <w:p w:rsidR="00DE0B39" w:rsidRDefault="00DE0B3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DE0B39" w:rsidRDefault="00DE0B39">
            <w:pPr>
              <w:spacing w:after="0" w:line="240" w:lineRule="auto"/>
              <w:jc w:val="center"/>
              <w:rPr>
                <w:rFonts w:ascii="Garamond" w:eastAsia="Times New Roman" w:hAnsi="Garamond" w:cstheme="minorHAnsi"/>
                <w:lang w:eastAsia="it-IT"/>
              </w:rPr>
            </w:pPr>
          </w:p>
        </w:tc>
        <w:tc>
          <w:tcPr>
            <w:tcW w:w="267" w:type="dxa"/>
            <w:gridSpan w:val="3"/>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50"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DE0B39">
        <w:trPr>
          <w:trHeight w:val="535"/>
        </w:trPr>
        <w:tc>
          <w:tcPr>
            <w:tcW w:w="264" w:type="dxa"/>
            <w:tcBorders>
              <w:right w:val="single" w:sz="2" w:space="0" w:color="000000"/>
            </w:tcBorders>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528"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69" w:type="dxa"/>
            <w:tcBorders>
              <w:left w:val="single" w:sz="2" w:space="0" w:color="000000"/>
            </w:tcBorders>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3.3: Piano di messa in sicurezza e riqualificazione dell’edilizia scolastica</w:t>
            </w:r>
          </w:p>
        </w:tc>
        <w:tc>
          <w:tcPr>
            <w:tcW w:w="169" w:type="dxa"/>
            <w:tcBorders>
              <w:left w:val="single" w:sz="2" w:space="0" w:color="000000"/>
            </w:tcBorders>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8" w:type="dxa"/>
            <w:gridSpan w:val="2"/>
            <w:shd w:val="clear" w:color="000000" w:fill="FFFFFF"/>
            <w:vAlign w:val="bottom"/>
          </w:tcPr>
          <w:p w:rsidR="00DE0B39" w:rsidRDefault="00B21DD0">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D56F23000000006</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adeguamento sismico istituto </w:t>
            </w:r>
            <w:proofErr w:type="spellStart"/>
            <w:r>
              <w:rPr>
                <w:rFonts w:ascii="Garamond" w:eastAsia="Times New Roman" w:hAnsi="Garamond" w:cstheme="minorHAnsi"/>
                <w:lang w:eastAsia="it-IT"/>
              </w:rPr>
              <w:t>Paciolo</w:t>
            </w:r>
            <w:proofErr w:type="spellEnd"/>
            <w:r>
              <w:rPr>
                <w:rFonts w:ascii="Garamond" w:eastAsia="Times New Roman" w:hAnsi="Garamond" w:cstheme="minorHAnsi"/>
                <w:lang w:eastAsia="it-IT"/>
              </w:rPr>
              <w:t xml:space="preserve"> di Fidenza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EE580F">
            <w:pPr>
              <w:spacing w:after="0" w:line="240" w:lineRule="auto"/>
            </w:pPr>
            <w:r>
              <w:rPr>
                <w:rFonts w:ascii="Garamond" w:eastAsia="Times New Roman" w:hAnsi="Garamond" w:cstheme="minorHAnsi"/>
                <w:lang w:eastAsia="it-IT"/>
              </w:rPr>
              <w:t>Provincia di Parma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ED6D01" w:rsidP="00B30C84">
            <w:pPr>
              <w:spacing w:after="0" w:line="240" w:lineRule="auto"/>
              <w:rPr>
                <w:rFonts w:ascii="Garamond" w:eastAsia="Times New Roman" w:hAnsi="Garamond" w:cstheme="minorHAnsi"/>
                <w:lang w:eastAsia="it-IT"/>
              </w:rPr>
            </w:pPr>
            <w:r w:rsidRPr="00ED6D01">
              <w:rPr>
                <w:rFonts w:ascii="Garamond" w:eastAsia="Times New Roman" w:hAnsi="Garamond" w:cstheme="minorHAnsi"/>
                <w:lang w:eastAsia="it-IT"/>
              </w:rPr>
              <w:t>€ 1.243.000,00</w:t>
            </w:r>
            <w:r>
              <w:rPr>
                <w:rFonts w:ascii="Garamond" w:eastAsia="Times New Roman" w:hAnsi="Garamond" w:cstheme="minorHAnsi"/>
                <w:lang w:eastAsia="it-IT"/>
              </w:rPr>
              <w:t xml:space="preserve"> </w:t>
            </w:r>
            <w:r w:rsidR="00B30C84" w:rsidRPr="00B30C84">
              <w:rPr>
                <w:rFonts w:ascii="Garamond" w:eastAsia="Times New Roman" w:hAnsi="Garamond" w:cstheme="minorHAnsi"/>
                <w:lang w:eastAsia="it-IT"/>
              </w:rPr>
              <w:t>(€</w:t>
            </w:r>
            <w:r w:rsidR="00B30C84">
              <w:rPr>
                <w:rFonts w:ascii="Garamond" w:eastAsia="Times New Roman" w:hAnsi="Garamond" w:cstheme="minorHAnsi"/>
                <w:lang w:eastAsia="it-IT"/>
              </w:rPr>
              <w:t xml:space="preserve"> </w:t>
            </w:r>
            <w:r w:rsidR="00B30C84">
              <w:rPr>
                <w:rFonts w:ascii="Garamond" w:eastAsia="Times New Roman" w:hAnsi="Garamond" w:cstheme="minorHAnsi"/>
                <w:lang w:eastAsia="it-IT"/>
              </w:rPr>
              <w:t xml:space="preserve">1.130.000,00 </w:t>
            </w:r>
            <w:r w:rsidR="00B30C84" w:rsidRPr="00B30C84">
              <w:rPr>
                <w:rFonts w:ascii="Garamond" w:eastAsia="Times New Roman" w:hAnsi="Garamond" w:cstheme="minorHAnsi"/>
                <w:lang w:eastAsia="it-IT"/>
              </w:rPr>
              <w:t xml:space="preserve">fondi PNRR + € </w:t>
            </w:r>
            <w:r w:rsidR="00B30C84">
              <w:rPr>
                <w:rFonts w:ascii="Garamond" w:eastAsia="Times New Roman" w:hAnsi="Garamond" w:cstheme="minorHAnsi"/>
                <w:lang w:eastAsia="it-IT"/>
              </w:rPr>
              <w:t>113</w:t>
            </w:r>
            <w:r w:rsidR="00B30C84" w:rsidRPr="00B30C84">
              <w:rPr>
                <w:rFonts w:ascii="Garamond" w:eastAsia="Times New Roman" w:hAnsi="Garamond" w:cstheme="minorHAnsi"/>
                <w:lang w:eastAsia="it-IT"/>
              </w:rPr>
              <w:t>.</w:t>
            </w:r>
            <w:r w:rsidR="00B30C84">
              <w:rPr>
                <w:rFonts w:ascii="Garamond" w:eastAsia="Times New Roman" w:hAnsi="Garamond" w:cstheme="minorHAnsi"/>
                <w:lang w:eastAsia="it-IT"/>
              </w:rPr>
              <w:t>000</w:t>
            </w:r>
            <w:r w:rsidR="00B30C84" w:rsidRPr="00B30C84">
              <w:rPr>
                <w:rFonts w:ascii="Garamond" w:eastAsia="Times New Roman" w:hAnsi="Garamond" w:cstheme="minorHAnsi"/>
                <w:lang w:eastAsia="it-IT"/>
              </w:rPr>
              <w:t>,</w:t>
            </w:r>
            <w:r w:rsidR="00B30C84">
              <w:rPr>
                <w:rFonts w:ascii="Garamond" w:eastAsia="Times New Roman" w:hAnsi="Garamond" w:cstheme="minorHAnsi"/>
                <w:lang w:eastAsia="it-IT"/>
              </w:rPr>
              <w:t>00</w:t>
            </w:r>
            <w:r w:rsidR="00B30C84" w:rsidRPr="00B30C84">
              <w:rPr>
                <w:rFonts w:ascii="Garamond" w:eastAsia="Times New Roman" w:hAnsi="Garamond" w:cstheme="minorHAnsi"/>
                <w:lang w:eastAsia="it-IT"/>
              </w:rPr>
              <w:t xml:space="preserve"> fondi comma 370 L. 29 dicembre 2022 n. 197)</w:t>
            </w:r>
            <w:r w:rsidR="00B30C84" w:rsidRPr="00B30C84">
              <w:rPr>
                <w:rFonts w:ascii="Garamond" w:eastAsia="Times New Roman" w:hAnsi="Garamond" w:cstheme="minorHAnsi"/>
                <w:lang w:eastAsia="it-IT"/>
              </w:rPr>
              <w:t xml:space="preserve"> di cui IVA € 116</w:t>
            </w:r>
            <w:r w:rsidR="00B30C84">
              <w:rPr>
                <w:rFonts w:ascii="Garamond" w:eastAsia="Times New Roman" w:hAnsi="Garamond" w:cstheme="minorHAnsi"/>
                <w:lang w:eastAsia="it-IT"/>
              </w:rPr>
              <w:t>.</w:t>
            </w:r>
            <w:r w:rsidR="00B30C84" w:rsidRPr="00B30C84">
              <w:rPr>
                <w:rFonts w:ascii="Garamond" w:eastAsia="Times New Roman" w:hAnsi="Garamond" w:cstheme="minorHAnsi"/>
                <w:lang w:eastAsia="it-IT"/>
              </w:rPr>
              <w:t>185,25</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€ 1.130.000,00 di cui IVA € 106.830,00</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Lavori</w:t>
            </w:r>
          </w:p>
          <w:p w:rsidR="00DE0B39" w:rsidRDefault="00B21DD0">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DE0B39" w:rsidRDefault="00B21DD0">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DE0B39" w:rsidRDefault="00B21DD0">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30C84">
            <w:pPr>
              <w:spacing w:after="0" w:line="240" w:lineRule="auto"/>
              <w:rPr>
                <w:rFonts w:ascii="Garamond" w:eastAsia="Times New Roman" w:hAnsi="Garamond" w:cstheme="minorHAnsi"/>
                <w:lang w:eastAsia="it-IT"/>
              </w:rPr>
            </w:pPr>
            <w:r>
              <w:rPr>
                <w:rFonts w:ascii="Garamond" w:eastAsia="Times New Roman" w:hAnsi="Garamond" w:cstheme="minorHAnsi"/>
                <w:b/>
                <w:bCs/>
                <w:color w:val="3465A4"/>
                <w:lang w:eastAsia="it-IT"/>
              </w:rPr>
              <w:t>Da acquisire (procedura SATER)</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PROGETTO DI “ADEGUAMENTO SISMICO ISTITUTO PACIOLO DI FIDENZA” CUP D56F23000000006 (FIN. UE - NEXT GENERATION EU (M4-C1-I.3.3) - </w:t>
            </w:r>
            <w:r w:rsidR="00B30C84" w:rsidRPr="00B30C84">
              <w:rPr>
                <w:rFonts w:ascii="Garamond" w:eastAsia="Times New Roman" w:hAnsi="Garamond" w:cstheme="minorHAnsi"/>
                <w:lang w:eastAsia="it-IT"/>
              </w:rPr>
              <w:t>INCARICO PER DIREZIONE OPERATIVA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431"/>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ISTITUTO PACIOLO DI FIDENZA</w:t>
            </w:r>
          </w:p>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 Manzoni 6, 43036 Fidenza (PR)</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838"/>
        </w:trPr>
        <w:tc>
          <w:tcPr>
            <w:tcW w:w="264" w:type="dxa"/>
            <w:tcBorders>
              <w:righ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272"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DE0B39" w:rsidRDefault="00B21DD0">
            <w:pPr>
              <w:spacing w:after="0" w:line="240" w:lineRule="auto"/>
              <w:rPr>
                <w:rFonts w:cstheme="minorHAnsi"/>
              </w:rPr>
            </w:pPr>
            <w:r>
              <w:rPr>
                <w:rFonts w:ascii="Garamond" w:eastAsia="Times New Roman" w:hAnsi="Garamond" w:cstheme="minorHAnsi"/>
                <w:lang w:eastAsia="it-IT"/>
              </w:rPr>
              <w:t>Avvio: [</w:t>
            </w:r>
            <w:r w:rsidR="009D4030">
              <w:rPr>
                <w:rFonts w:ascii="Garamond" w:eastAsia="Times New Roman" w:hAnsi="Garamond" w:cstheme="minorHAnsi"/>
                <w:lang w:eastAsia="it-IT"/>
              </w:rPr>
              <w:t>06</w:t>
            </w:r>
            <w:r>
              <w:rPr>
                <w:rFonts w:ascii="Garamond" w:eastAsia="Times New Roman" w:hAnsi="Garamond" w:cstheme="minorHAnsi"/>
                <w:lang w:eastAsia="it-IT"/>
              </w:rPr>
              <w:t>/0</w:t>
            </w:r>
            <w:r w:rsidR="009D4030">
              <w:rPr>
                <w:rFonts w:ascii="Garamond" w:eastAsia="Times New Roman" w:hAnsi="Garamond" w:cstheme="minorHAnsi"/>
                <w:lang w:eastAsia="it-IT"/>
              </w:rPr>
              <w:t>3</w:t>
            </w:r>
            <w:r>
              <w:rPr>
                <w:rFonts w:ascii="Garamond" w:eastAsia="Times New Roman" w:hAnsi="Garamond" w:cstheme="minorHAnsi"/>
                <w:lang w:eastAsia="it-IT"/>
              </w:rPr>
              <w:t>/202</w:t>
            </w:r>
            <w:r w:rsidR="009D4030">
              <w:rPr>
                <w:rFonts w:ascii="Garamond" w:eastAsia="Times New Roman" w:hAnsi="Garamond" w:cstheme="minorHAnsi"/>
                <w:lang w:eastAsia="it-IT"/>
              </w:rPr>
              <w:t>4</w:t>
            </w:r>
            <w:r>
              <w:rPr>
                <w:rFonts w:ascii="Garamond" w:eastAsia="Times New Roman" w:hAnsi="Garamond" w:cstheme="minorHAnsi"/>
                <w:lang w:eastAsia="it-IT"/>
              </w:rPr>
              <w:t xml:space="preserve"> (avvio Trattativa diretta su SATER)]</w:t>
            </w:r>
          </w:p>
          <w:p w:rsidR="00DE0B39" w:rsidRDefault="00B21DD0">
            <w:pPr>
              <w:spacing w:after="0" w:line="240" w:lineRule="auto"/>
              <w:rPr>
                <w:rFonts w:cstheme="minorHAnsi"/>
              </w:rPr>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30C84">
            <w:pPr>
              <w:spacing w:after="0" w:line="240" w:lineRule="auto"/>
              <w:rPr>
                <w:rFonts w:ascii="Garamond" w:eastAsia="Times New Roman" w:hAnsi="Garamond" w:cstheme="minorHAnsi"/>
                <w:lang w:eastAsia="it-IT"/>
              </w:rPr>
            </w:pPr>
            <w:r w:rsidRPr="00B30C84">
              <w:t>€ 22.241,63</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DE0B39" w:rsidRDefault="00B21DD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9D4030">
            <w:pPr>
              <w:spacing w:after="0" w:line="240" w:lineRule="auto"/>
              <w:rPr>
                <w:rFonts w:ascii="Garamond" w:eastAsia="Times New Roman" w:hAnsi="Garamond" w:cstheme="minorHAnsi"/>
                <w:lang w:eastAsia="it-IT"/>
              </w:rPr>
            </w:pPr>
            <w:r w:rsidRPr="009D4030">
              <w:rPr>
                <w:rFonts w:ascii="Garamond" w:eastAsia="Times New Roman" w:hAnsi="Garamond" w:cstheme="minorHAnsi"/>
                <w:lang w:eastAsia="it-IT"/>
              </w:rPr>
              <w:t>Ing. Claudio Franchi con studio in P.zza Unità d’Italia 56 - 42017 Novellara (RE) - C.F. FRNCLD75L30F960S - Partita I.V.A. 02542660358</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pPr>
            <w:r>
              <w:rPr>
                <w:rFonts w:ascii="Garamond" w:eastAsia="Times New Roman" w:hAnsi="Garamond" w:cstheme="minorHAnsi"/>
                <w:b/>
                <w:bCs/>
                <w:color w:val="3465A4"/>
                <w:lang w:eastAsia="it-IT"/>
              </w:rPr>
              <w:t>Stipulato a seguito di avvenuta esecutività dell’atto adottando</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 xml:space="preserve">€ </w:t>
            </w:r>
            <w:r w:rsidR="009D4030">
              <w:rPr>
                <w:rFonts w:ascii="Garamond" w:eastAsia="Times New Roman" w:hAnsi="Garamond" w:cstheme="minorHAnsi"/>
                <w:color w:val="000000"/>
                <w:lang w:eastAsia="it-IT"/>
              </w:rPr>
              <w:t>22.000</w:t>
            </w:r>
            <w:r>
              <w:rPr>
                <w:rFonts w:ascii="Garamond" w:eastAsia="Times New Roman" w:hAnsi="Garamond" w:cstheme="minorHAnsi"/>
                <w:color w:val="000000"/>
                <w:lang w:eastAsia="it-IT"/>
              </w:rPr>
              <w:t>,00</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€ 8</w:t>
            </w:r>
            <w:r w:rsidR="009D4030">
              <w:rPr>
                <w:rFonts w:ascii="Garamond" w:eastAsia="Times New Roman" w:hAnsi="Garamond" w:cstheme="minorHAnsi"/>
                <w:color w:val="000000"/>
                <w:lang w:eastAsia="it-IT"/>
              </w:rPr>
              <w:t>8</w:t>
            </w:r>
            <w:r>
              <w:rPr>
                <w:rFonts w:ascii="Garamond" w:eastAsia="Times New Roman" w:hAnsi="Garamond" w:cstheme="minorHAnsi"/>
                <w:color w:val="000000"/>
                <w:lang w:eastAsia="it-IT"/>
              </w:rPr>
              <w:t>0,00</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pPr>
            <w:r>
              <w:rPr>
                <w:rFonts w:ascii="Garamond" w:eastAsia="Times New Roman" w:hAnsi="Garamond" w:cstheme="minorHAnsi"/>
                <w:lang w:eastAsia="it-IT"/>
              </w:rPr>
              <w:t xml:space="preserve">€ </w:t>
            </w:r>
            <w:r w:rsidR="009D4030">
              <w:rPr>
                <w:rFonts w:ascii="Garamond" w:eastAsia="Times New Roman" w:hAnsi="Garamond" w:cstheme="minorHAnsi"/>
                <w:lang w:eastAsia="it-IT"/>
              </w:rPr>
              <w:t>22</w:t>
            </w:r>
            <w:r>
              <w:rPr>
                <w:rFonts w:ascii="Garamond" w:eastAsia="Times New Roman" w:hAnsi="Garamond" w:cstheme="minorHAnsi"/>
                <w:lang w:eastAsia="it-IT"/>
              </w:rPr>
              <w:t>.</w:t>
            </w:r>
            <w:r w:rsidR="009D4030">
              <w:rPr>
                <w:rFonts w:ascii="Garamond" w:eastAsia="Times New Roman" w:hAnsi="Garamond" w:cstheme="minorHAnsi"/>
                <w:lang w:eastAsia="it-IT"/>
              </w:rPr>
              <w:t>880</w:t>
            </w:r>
            <w:r>
              <w:rPr>
                <w:rFonts w:ascii="Garamond" w:eastAsia="Times New Roman" w:hAnsi="Garamond" w:cstheme="minorHAnsi"/>
                <w:lang w:eastAsia="it-IT"/>
              </w:rPr>
              <w:t>,00</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9D4030">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1</w:t>
            </w:r>
            <w:r w:rsidR="00B21DD0">
              <w:rPr>
                <w:rFonts w:ascii="Garamond" w:eastAsia="Times New Roman" w:hAnsi="Garamond" w:cstheme="minorHAnsi"/>
                <w:color w:val="000000"/>
                <w:lang w:eastAsia="it-IT"/>
              </w:rPr>
              <w:t>,</w:t>
            </w:r>
            <w:r>
              <w:rPr>
                <w:rFonts w:ascii="Garamond" w:eastAsia="Times New Roman" w:hAnsi="Garamond" w:cstheme="minorHAnsi"/>
                <w:color w:val="000000"/>
                <w:lang w:eastAsia="it-IT"/>
              </w:rPr>
              <w:t>09</w:t>
            </w:r>
            <w:r w:rsidR="00B21DD0">
              <w:rPr>
                <w:rFonts w:ascii="Garamond" w:eastAsia="Times New Roman" w:hAnsi="Garamond" w:cstheme="minorHAnsi"/>
                <w:color w:val="000000"/>
                <w:lang w:eastAsia="it-IT"/>
              </w:rPr>
              <w:t>%</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r w:rsidR="00DE0B39">
        <w:trPr>
          <w:trHeight w:val="538"/>
        </w:trPr>
        <w:tc>
          <w:tcPr>
            <w:tcW w:w="264" w:type="dxa"/>
            <w:tcBorders>
              <w:right w:val="single" w:sz="2" w:space="0" w:color="000000"/>
            </w:tcBorders>
            <w:shd w:val="clear" w:color="000000" w:fill="FFFFFF"/>
            <w:vAlign w:val="center"/>
          </w:tcPr>
          <w:p w:rsidR="00DE0B39" w:rsidRDefault="00DE0B39">
            <w:pPr>
              <w:spacing w:after="0" w:line="240" w:lineRule="auto"/>
              <w:rPr>
                <w:rFonts w:ascii="Garamond" w:eastAsia="Times New Roman" w:hAnsi="Garamond" w:cstheme="minorHAnsi"/>
                <w:color w:val="000000"/>
                <w:lang w:eastAsia="it-IT"/>
              </w:rPr>
            </w:pPr>
          </w:p>
        </w:tc>
        <w:tc>
          <w:tcPr>
            <w:tcW w:w="3256"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DE0B39" w:rsidRDefault="00B21DD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272"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DE0B39" w:rsidRDefault="00B21DD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69" w:type="dxa"/>
            <w:tcBorders>
              <w:left w:val="single" w:sz="2" w:space="0" w:color="000000"/>
            </w:tcBorders>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268" w:type="dxa"/>
            <w:gridSpan w:val="2"/>
            <w:shd w:val="clear" w:color="000000" w:fill="FFFFFF"/>
            <w:vAlign w:val="bottom"/>
          </w:tcPr>
          <w:p w:rsidR="00DE0B39" w:rsidRDefault="00DE0B39">
            <w:pPr>
              <w:spacing w:after="0" w:line="240" w:lineRule="auto"/>
              <w:rPr>
                <w:rFonts w:ascii="Garamond" w:eastAsia="Times New Roman" w:hAnsi="Garamond" w:cstheme="minorHAnsi"/>
                <w:color w:val="000000"/>
                <w:lang w:eastAsia="it-IT"/>
              </w:rPr>
            </w:pPr>
          </w:p>
        </w:tc>
        <w:tc>
          <w:tcPr>
            <w:tcW w:w="56" w:type="dxa"/>
          </w:tcPr>
          <w:p w:rsidR="00DE0B39" w:rsidRDefault="00DE0B39"/>
        </w:tc>
      </w:tr>
    </w:tbl>
    <w:p w:rsidR="00DE0B39" w:rsidRDefault="00DE0B39">
      <w:pPr>
        <w:rPr>
          <w:rFonts w:ascii="Garamond" w:hAnsi="Garamond"/>
        </w:rPr>
      </w:pPr>
    </w:p>
    <w:p w:rsidR="00DE0B39" w:rsidRDefault="00DE0B39">
      <w:pPr>
        <w:rPr>
          <w:rFonts w:ascii="Garamond" w:hAnsi="Garamond"/>
        </w:rPr>
      </w:pPr>
    </w:p>
    <w:tbl>
      <w:tblPr>
        <w:tblW w:w="5000" w:type="pct"/>
        <w:tblCellMar>
          <w:left w:w="70" w:type="dxa"/>
          <w:right w:w="70" w:type="dxa"/>
        </w:tblCellMar>
        <w:tblLook w:val="04A0" w:firstRow="1" w:lastRow="0" w:firstColumn="1" w:lastColumn="0" w:noHBand="0" w:noVBand="1"/>
      </w:tblPr>
      <w:tblGrid>
        <w:gridCol w:w="672"/>
        <w:gridCol w:w="4543"/>
        <w:gridCol w:w="568"/>
        <w:gridCol w:w="682"/>
        <w:gridCol w:w="797"/>
        <w:gridCol w:w="2202"/>
        <w:gridCol w:w="2039"/>
        <w:gridCol w:w="2774"/>
      </w:tblGrid>
      <w:tr w:rsidR="00DE0B39">
        <w:trPr>
          <w:trHeight w:val="1500"/>
          <w:tblHeader/>
        </w:trPr>
        <w:tc>
          <w:tcPr>
            <w:tcW w:w="5220"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68"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82"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97"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203"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03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DE0B39" w:rsidRDefault="00B21DD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776"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DE0B39" w:rsidRDefault="00B21DD0">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sz w:val="20"/>
                <w:lang w:eastAsia="it-IT"/>
              </w:rPr>
            </w:pP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DE0B39">
        <w:trPr>
          <w:trHeight w:val="135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DE0B39">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DE0B39">
        <w:trPr>
          <w:trHeight w:val="66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highlight w:val="yellow"/>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DE0B39" w:rsidRDefault="00B21DD0">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DE0B39">
        <w:trPr>
          <w:trHeight w:val="173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DE0B39" w:rsidRDefault="00B21DD0">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DE0B39" w:rsidRDefault="00B21DD0">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DE0B39" w:rsidRDefault="00B21DD0">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DE0B39">
        <w:trPr>
          <w:trHeight w:val="186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highlight w:val="yellow"/>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l’esecuzione di lavori/servizi/forniture è stato applicato il Regime (1 o 2) previsto per la specifica Misura?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•Progetto/Scheda progettuale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DNSH</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della prestazione agli obiettivi del progetto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11"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DE0B39" w:rsidRDefault="00B21DD0">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DE0B39" w:rsidRDefault="00DE0B39">
            <w:pPr>
              <w:spacing w:after="0" w:line="240" w:lineRule="auto"/>
              <w:rPr>
                <w:rFonts w:ascii="Garamond" w:eastAsia="Times New Roman" w:hAnsi="Garamond" w:cs="Times New Roman"/>
                <w:color w:val="000000"/>
                <w:sz w:val="20"/>
                <w:lang w:eastAsia="it-IT"/>
              </w:rPr>
            </w:pP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DE0B39">
        <w:trPr>
          <w:trHeight w:val="9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DE0B39" w:rsidRDefault="00B21DD0">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DE0B39" w:rsidRDefault="00B21DD0">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DE0B39" w:rsidRDefault="00B21DD0">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DE0B39" w:rsidRDefault="00DE0B39">
            <w:pPr>
              <w:spacing w:after="0" w:line="240" w:lineRule="auto"/>
              <w:jc w:val="both"/>
              <w:rPr>
                <w:rFonts w:ascii="Garamond" w:eastAsia="Times New Roman" w:hAnsi="Garamond" w:cs="Times New Roman"/>
                <w:i/>
                <w:iCs/>
                <w:color w:val="000000"/>
                <w:lang w:eastAsia="it-IT"/>
              </w:rPr>
            </w:pP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DE0B39">
        <w:trPr>
          <w:trHeight w:val="82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DE0B39">
        <w:trPr>
          <w:trHeight w:val="66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 xml:space="preserve">Nel caso di opere pubbliche, prima dell’inizio delle procedure di affidamento, gli elaborati progettuali sono stati verificati e validati ai sensi dell’art. 26, </w:t>
            </w:r>
            <w:r>
              <w:rPr>
                <w:rFonts w:ascii="Garamond" w:eastAsia="Times New Roman" w:hAnsi="Garamond" w:cs="Times New Roman"/>
                <w:color w:val="000000"/>
                <w:lang w:eastAsia="it-IT"/>
              </w:rPr>
              <w:lastRenderedPageBreak/>
              <w:t>comma 8, del d.lgs. n. 50/2016, nonché approvati ai sensi dell’art. 27 del d. lgs 50/2016 medesimo?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highlight w:val="yellow"/>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highlight w:val="yellow"/>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DE0B39" w:rsidRDefault="00DE0B39">
            <w:pPr>
              <w:spacing w:after="0" w:line="240" w:lineRule="auto"/>
              <w:rPr>
                <w:rFonts w:ascii="Garamond" w:eastAsia="Times New Roman" w:hAnsi="Garamond" w:cs="Times New Roman"/>
                <w:color w:val="000000"/>
                <w:sz w:val="20"/>
                <w:lang w:eastAsia="it-IT"/>
              </w:rPr>
            </w:pP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•Progetto di fattibilità tecnica ed economica, progetto definitivo, progetto esecutivo;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DE0B39">
        <w:trPr>
          <w:trHeight w:val="173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DE0B39" w:rsidRDefault="00B21DD0">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DE0B39" w:rsidRDefault="00B21DD0">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L’affidamento è avvenuto nel rispetto dei principi generali del codice quali rotazione, economicità, </w:t>
            </w:r>
            <w:r>
              <w:rPr>
                <w:rFonts w:ascii="Garamond" w:eastAsia="Times New Roman" w:hAnsi="Garamond" w:cs="Times New Roman"/>
                <w:color w:val="000000"/>
                <w:lang w:eastAsia="it-IT"/>
              </w:rPr>
              <w:lastRenderedPageBreak/>
              <w:t>efficacia, tempestività, correttezza, libera concorrenza, non discriminazione e parità di trattamento, trasparenza e pubblicità, proporzionalità, nonché dei criteri di sostenibilità energetica e ambientale?</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DE0B39">
        <w:trPr>
          <w:trHeight w:val="131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DE0B39" w:rsidRDefault="00B21DD0">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DE0B39" w:rsidRDefault="00B21DD0">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DE0B39" w:rsidRDefault="00B21DD0">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DE0B39" w:rsidRDefault="00B21DD0">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valutazione e la relativa ponderazione?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DE0B39" w:rsidRDefault="00B21DD0">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DE0B39" w:rsidRDefault="00B21DD0">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DE0B39" w:rsidRDefault="00B21DD0">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DE0B39" w:rsidRDefault="00B21DD0">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DE0B39" w:rsidRDefault="00B21DD0">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DE0B39" w:rsidRDefault="00B21DD0">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DE0B39">
        <w:trPr>
          <w:trHeight w:val="182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DE0B39" w:rsidRDefault="00DE0B39">
            <w:pPr>
              <w:spacing w:after="0" w:line="240" w:lineRule="auto"/>
              <w:rPr>
                <w:rFonts w:ascii="Garamond" w:eastAsia="Times New Roman" w:hAnsi="Garamond" w:cs="Times New Roman"/>
                <w:color w:val="000000"/>
                <w:lang w:eastAsia="it-IT"/>
              </w:rPr>
            </w:pPr>
          </w:p>
          <w:p w:rsidR="00DE0B39" w:rsidRDefault="00B21DD0">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p w:rsidR="00DE0B39" w:rsidRDefault="00DE0B39">
            <w:pPr>
              <w:spacing w:after="0" w:line="240" w:lineRule="auto"/>
              <w:rPr>
                <w:rFonts w:ascii="Garamond" w:eastAsia="Times New Roman" w:hAnsi="Garamond" w:cs="Times New Roman"/>
                <w:b/>
                <w:bCs/>
                <w:lang w:eastAsia="it-IT"/>
              </w:rPr>
            </w:pP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p w:rsidR="00DE0B39" w:rsidRDefault="00DE0B39">
            <w:pPr>
              <w:spacing w:after="0" w:line="240" w:lineRule="auto"/>
              <w:rPr>
                <w:rFonts w:ascii="Garamond" w:eastAsia="Times New Roman" w:hAnsi="Garamond" w:cs="Times New Roman"/>
                <w:b/>
                <w:bCs/>
                <w:lang w:eastAsia="it-IT"/>
              </w:rPr>
            </w:pP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DE0B39" w:rsidRDefault="00DE0B39">
            <w:pPr>
              <w:spacing w:after="0" w:line="240" w:lineRule="auto"/>
              <w:jc w:val="both"/>
              <w:rPr>
                <w:rFonts w:ascii="Garamond" w:eastAsia="Times New Roman" w:hAnsi="Garamond" w:cs="Times New Roman"/>
                <w:color w:val="000000"/>
                <w:lang w:eastAsia="it-IT"/>
              </w:rPr>
            </w:pP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Affidamento di cui all’articolo </w:t>
            </w:r>
            <w:r w:rsidR="00DE5C10">
              <w:rPr>
                <w:rFonts w:ascii="Garamond" w:eastAsia="Times New Roman" w:hAnsi="Garamond" w:cs="Times New Roman"/>
                <w:b/>
                <w:bCs/>
                <w:color w:val="000000"/>
                <w:lang w:eastAsia="it-IT"/>
              </w:rPr>
              <w:t>50</w:t>
            </w:r>
            <w:r>
              <w:rPr>
                <w:rFonts w:ascii="Garamond" w:eastAsia="Times New Roman" w:hAnsi="Garamond" w:cs="Times New Roman"/>
                <w:b/>
                <w:bCs/>
                <w:color w:val="000000"/>
                <w:lang w:eastAsia="it-IT"/>
              </w:rPr>
              <w:t xml:space="preserve">, comma </w:t>
            </w:r>
            <w:r w:rsidR="00DE5C10">
              <w:rPr>
                <w:rFonts w:ascii="Garamond" w:eastAsia="Times New Roman" w:hAnsi="Garamond" w:cs="Times New Roman"/>
                <w:b/>
                <w:bCs/>
                <w:color w:val="000000"/>
                <w:lang w:eastAsia="it-IT"/>
              </w:rPr>
              <w:t>1</w:t>
            </w:r>
            <w:r>
              <w:rPr>
                <w:rFonts w:ascii="Garamond" w:eastAsia="Times New Roman" w:hAnsi="Garamond" w:cs="Times New Roman"/>
                <w:b/>
                <w:bCs/>
                <w:color w:val="000000"/>
                <w:lang w:eastAsia="it-IT"/>
              </w:rPr>
              <w:t xml:space="preserve">, lettera </w:t>
            </w:r>
            <w:r w:rsidR="00DE5C10">
              <w:rPr>
                <w:rFonts w:ascii="Garamond" w:eastAsia="Times New Roman" w:hAnsi="Garamond" w:cs="Times New Roman"/>
                <w:b/>
                <w:bCs/>
                <w:color w:val="000000"/>
                <w:lang w:eastAsia="it-IT"/>
              </w:rPr>
              <w:t>b</w:t>
            </w:r>
            <w:r>
              <w:rPr>
                <w:rFonts w:ascii="Garamond" w:eastAsia="Times New Roman" w:hAnsi="Garamond" w:cs="Times New Roman"/>
                <w:b/>
                <w:bCs/>
                <w:color w:val="000000"/>
                <w:lang w:eastAsia="it-IT"/>
              </w:rPr>
              <w:t>) relativamente al quale l’Amministrazione si è avvalsa della facoltà di non richiedere la garanzia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DE0B39">
        <w:trPr>
          <w:trHeight w:val="8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DE0B39">
        <w:trPr>
          <w:trHeight w:val="1226"/>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E0B39">
        <w:trPr>
          <w:trHeight w:val="103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E0B39">
        <w:trPr>
          <w:trHeight w:val="98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DE0B39">
        <w:trPr>
          <w:trHeight w:val="97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DE0B39">
        <w:trPr>
          <w:trHeight w:val="70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03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DE0B39" w:rsidRDefault="00DE0B39">
            <w:pPr>
              <w:spacing w:after="0" w:line="240" w:lineRule="auto"/>
              <w:jc w:val="both"/>
              <w:rPr>
                <w:rFonts w:ascii="Garamond" w:eastAsia="Times New Roman" w:hAnsi="Garamond" w:cs="Times New Roman"/>
                <w:color w:val="000000"/>
                <w:lang w:eastAsia="it-IT"/>
              </w:rPr>
            </w:pP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117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83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DE0B39" w:rsidRDefault="00DE0B39">
            <w:pPr>
              <w:spacing w:after="0" w:line="240" w:lineRule="auto"/>
              <w:jc w:val="both"/>
              <w:rPr>
                <w:rFonts w:ascii="Garamond" w:eastAsia="Times New Roman" w:hAnsi="Garamond" w:cs="Times New Roman"/>
                <w:color w:val="000000"/>
                <w:lang w:eastAsia="it-IT"/>
              </w:rPr>
            </w:pP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0B39">
        <w:trPr>
          <w:trHeight w:val="83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DE0B39" w:rsidRDefault="00B21DD0">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DE0B39">
        <w:trPr>
          <w:trHeight w:val="821"/>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DE0B39" w:rsidRDefault="00B21DD0">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DE0B39" w:rsidRDefault="00B21DD0">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E0B39" w:rsidRDefault="00B21DD0">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DE0B39" w:rsidRDefault="00B21DD0">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rsidR="00DE0B39" w:rsidRDefault="00B21DD0">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in corso di validità</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DE0B39">
        <w:trPr>
          <w:trHeight w:val="141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Affidamento di cui all’articolo </w:t>
            </w:r>
            <w:r w:rsidR="00DE5C10">
              <w:rPr>
                <w:rFonts w:ascii="Garamond" w:eastAsia="Times New Roman" w:hAnsi="Garamond" w:cs="Times New Roman"/>
                <w:b/>
                <w:bCs/>
                <w:color w:val="000000"/>
                <w:lang w:eastAsia="it-IT"/>
              </w:rPr>
              <w:t>50</w:t>
            </w:r>
            <w:r>
              <w:rPr>
                <w:rFonts w:ascii="Garamond" w:eastAsia="Times New Roman" w:hAnsi="Garamond" w:cs="Times New Roman"/>
                <w:b/>
                <w:bCs/>
                <w:color w:val="000000"/>
                <w:lang w:eastAsia="it-IT"/>
              </w:rPr>
              <w:t xml:space="preserve">, comma </w:t>
            </w:r>
            <w:r w:rsidR="00DE5C10">
              <w:rPr>
                <w:rFonts w:ascii="Garamond" w:eastAsia="Times New Roman" w:hAnsi="Garamond" w:cs="Times New Roman"/>
                <w:b/>
                <w:bCs/>
                <w:color w:val="000000"/>
                <w:lang w:eastAsia="it-IT"/>
              </w:rPr>
              <w:t>1</w:t>
            </w:r>
            <w:r>
              <w:rPr>
                <w:rFonts w:ascii="Garamond" w:eastAsia="Times New Roman" w:hAnsi="Garamond" w:cs="Times New Roman"/>
                <w:b/>
                <w:bCs/>
                <w:color w:val="000000"/>
                <w:lang w:eastAsia="it-IT"/>
              </w:rPr>
              <w:t xml:space="preserve">, lettera </w:t>
            </w:r>
            <w:r w:rsidR="00DE5C10">
              <w:rPr>
                <w:rFonts w:ascii="Garamond" w:eastAsia="Times New Roman" w:hAnsi="Garamond" w:cs="Times New Roman"/>
                <w:b/>
                <w:bCs/>
                <w:color w:val="000000"/>
                <w:lang w:eastAsia="it-IT"/>
              </w:rPr>
              <w:t>b</w:t>
            </w:r>
            <w:r>
              <w:rPr>
                <w:rFonts w:ascii="Garamond" w:eastAsia="Times New Roman" w:hAnsi="Garamond" w:cs="Times New Roman"/>
                <w:b/>
                <w:bCs/>
                <w:color w:val="000000"/>
                <w:lang w:eastAsia="it-IT"/>
              </w:rPr>
              <w:t>) relativamente al quale l’Amministrazione si è avvalsa della facoltà di non richiedere la garanzia</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w:t>
            </w:r>
            <w:r>
              <w:rPr>
                <w:rFonts w:ascii="Garamond" w:eastAsia="Times New Roman" w:hAnsi="Garamond" w:cs="Times New Roman"/>
                <w:color w:val="000000"/>
                <w:lang w:eastAsia="it-IT"/>
              </w:rPr>
              <w:lastRenderedPageBreak/>
              <w:t xml:space="preserve">un’apposita clausola con la quale l’appaltatore si assume gli obblighi di tracciabilità dei flussi finanziari dì cui alla legge n. 136/2010?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Lettera d’ordine contenente gli elementi essenziali </w:t>
            </w:r>
            <w:r>
              <w:rPr>
                <w:rFonts w:ascii="Garamond" w:eastAsia="Times New Roman" w:hAnsi="Garamond" w:cs="Times New Roman"/>
                <w:b/>
                <w:bCs/>
                <w:color w:val="000000"/>
                <w:lang w:eastAsia="it-IT"/>
              </w:rPr>
              <w:lastRenderedPageBreak/>
              <w:t>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DE0B39" w:rsidRDefault="00B21DD0">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DE0B39" w:rsidRDefault="00B21DD0">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DE0B39" w:rsidRDefault="00B21DD0">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DE0B39" w:rsidRDefault="00B21DD0">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000000"/>
                <w:lang w:eastAsia="it-IT"/>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tc>
      </w:tr>
      <w:tr w:rsidR="00DE0B39">
        <w:trPr>
          <w:trHeight w:val="107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DE0B39">
        <w:trPr>
          <w:trHeight w:val="1073"/>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0B39" w:rsidRDefault="00B21DD0">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DE0B39">
            <w:pPr>
              <w:spacing w:after="0" w:line="240" w:lineRule="auto"/>
              <w:rPr>
                <w:rFonts w:ascii="Garamond" w:eastAsia="Times New Roman" w:hAnsi="Garamond" w:cs="Times New Roman"/>
                <w:color w:val="000000"/>
                <w:lang w:eastAsia="it-IT"/>
              </w:rPr>
            </w:pPr>
          </w:p>
        </w:tc>
      </w:tr>
      <w:tr w:rsidR="00DE0B39">
        <w:trPr>
          <w:trHeight w:val="680"/>
        </w:trPr>
        <w:tc>
          <w:tcPr>
            <w:tcW w:w="67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0835"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77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E0B39" w:rsidRDefault="00DE0B39">
            <w:pPr>
              <w:spacing w:after="0" w:line="240" w:lineRule="auto"/>
              <w:rPr>
                <w:rFonts w:ascii="Garamond" w:eastAsia="Times New Roman" w:hAnsi="Garamond" w:cs="Times New Roman"/>
                <w:b/>
                <w:bCs/>
                <w:lang w:eastAsia="it-IT"/>
              </w:rPr>
            </w:pPr>
          </w:p>
        </w:tc>
      </w:tr>
      <w:tr w:rsidR="00DE0B39">
        <w:trPr>
          <w:trHeight w:val="605"/>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b/>
                <w:bCs/>
                <w:color w:val="3465A4"/>
                <w:lang w:eastAsia="it-IT"/>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DE0B39">
            <w:pPr>
              <w:spacing w:after="0" w:line="240" w:lineRule="auto"/>
              <w:rPr>
                <w:rFonts w:ascii="Garamond" w:eastAsia="Times New Roman" w:hAnsi="Garamond" w:cs="Times New Roman"/>
                <w:color w:val="3465A4"/>
                <w:lang w:eastAsia="it-I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B39" w:rsidRDefault="00B21DD0">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DE0B39" w:rsidRDefault="00DE0B39"/>
    <w:p w:rsidR="00DE0B39" w:rsidRDefault="00DE0B3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DE0B3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DE0B3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DE0B39" w:rsidRDefault="00B21DD0">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DE0B3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DE0B39" w:rsidRDefault="00DE0B3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DE0B3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DE0B39" w:rsidRDefault="00DE0B3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DE0B39" w:rsidRDefault="00B21DD0">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DE0B39" w:rsidRDefault="00DE0B39"/>
    <w:p w:rsidR="00DE0B39" w:rsidRDefault="00DE0B39"/>
    <w:p w:rsidR="00DE0B39" w:rsidRDefault="00DE0B39"/>
    <w:tbl>
      <w:tblPr>
        <w:tblW w:w="2900" w:type="pct"/>
        <w:jc w:val="center"/>
        <w:tblCellMar>
          <w:left w:w="70" w:type="dxa"/>
          <w:right w:w="70" w:type="dxa"/>
        </w:tblCellMar>
        <w:tblLook w:val="04A0" w:firstRow="1" w:lastRow="0" w:firstColumn="1" w:lastColumn="0" w:noHBand="0" w:noVBand="1"/>
      </w:tblPr>
      <w:tblGrid>
        <w:gridCol w:w="4252"/>
        <w:gridCol w:w="4023"/>
      </w:tblGrid>
      <w:tr w:rsidR="00DE0B3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DE0B39" w:rsidRDefault="00B21DD0">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DE0B39" w:rsidRDefault="00B21DD0">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DE0B3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DE5C10">
            <w:pPr>
              <w:spacing w:after="0" w:line="240" w:lineRule="auto"/>
              <w:jc w:val="center"/>
            </w:pPr>
            <w:r w:rsidRPr="00DE5C10">
              <w:rPr>
                <w:rFonts w:ascii="Garamond" w:eastAsia="Times New Roman" w:hAnsi="Garamond" w:cs="Times New Roman"/>
                <w:bCs/>
                <w:lang w:eastAsia="it-IT"/>
              </w:rPr>
              <w:t>€ 22.241,63</w:t>
            </w:r>
          </w:p>
        </w:tc>
      </w:tr>
      <w:tr w:rsidR="00DE0B3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DE5C10">
            <w:pPr>
              <w:spacing w:after="0" w:line="240" w:lineRule="auto"/>
              <w:jc w:val="center"/>
            </w:pPr>
            <w:r w:rsidRPr="00DE5C10">
              <w:rPr>
                <w:rFonts w:ascii="Garamond" w:eastAsia="Times New Roman" w:hAnsi="Garamond" w:cs="Times New Roman"/>
                <w:bCs/>
                <w:lang w:eastAsia="it-IT"/>
              </w:rPr>
              <w:t>€ 22.241,63</w:t>
            </w:r>
          </w:p>
        </w:tc>
      </w:tr>
      <w:tr w:rsidR="00DE0B3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B21DD0">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B21DD0">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DE0B39" w:rsidRDefault="00DE0B39">
      <w:bookmarkStart w:id="0" w:name="_GoBack"/>
      <w:bookmarkEnd w:id="0"/>
    </w:p>
    <w:p w:rsidR="00DE0B39" w:rsidRDefault="00DE0B39"/>
    <w:tbl>
      <w:tblPr>
        <w:tblW w:w="4000" w:type="pct"/>
        <w:jc w:val="center"/>
        <w:tblCellMar>
          <w:left w:w="70" w:type="dxa"/>
          <w:right w:w="70" w:type="dxa"/>
        </w:tblCellMar>
        <w:tblLook w:val="04A0" w:firstRow="1" w:lastRow="0" w:firstColumn="1" w:lastColumn="0" w:noHBand="0" w:noVBand="1"/>
      </w:tblPr>
      <w:tblGrid>
        <w:gridCol w:w="11414"/>
      </w:tblGrid>
      <w:tr w:rsidR="00DE0B3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DE0B39" w:rsidRDefault="00B21DD0">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DE0B3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DE0B39" w:rsidRDefault="00DE0B39">
            <w:pPr>
              <w:spacing w:after="0" w:line="240" w:lineRule="auto"/>
              <w:jc w:val="center"/>
              <w:rPr>
                <w:rFonts w:ascii="Garamond" w:eastAsia="Times New Roman" w:hAnsi="Garamond" w:cs="Times New Roman"/>
                <w:color w:val="000000"/>
                <w:highlight w:val="yellow"/>
                <w:lang w:eastAsia="it-IT"/>
              </w:rPr>
            </w:pPr>
          </w:p>
        </w:tc>
      </w:tr>
    </w:tbl>
    <w:p w:rsidR="00DE0B39" w:rsidRDefault="00DE0B3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DE0B3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B39" w:rsidRDefault="00B21DD0">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B39" w:rsidRDefault="00DE5C10" w:rsidP="00DE5C10">
            <w:pPr>
              <w:jc w:val="center"/>
            </w:pPr>
            <w:r>
              <w:rPr>
                <w:rFonts w:ascii="Garamond" w:hAnsi="Garamond" w:cs="Calibri"/>
              </w:rPr>
              <w:t>12</w:t>
            </w:r>
            <w:r w:rsidR="00B21DD0">
              <w:rPr>
                <w:rFonts w:ascii="Garamond" w:hAnsi="Garamond" w:cs="Calibri"/>
              </w:rPr>
              <w:t>/0</w:t>
            </w:r>
            <w:r>
              <w:rPr>
                <w:rFonts w:ascii="Garamond" w:hAnsi="Garamond" w:cs="Calibri"/>
              </w:rPr>
              <w:t>3</w:t>
            </w:r>
            <w:r w:rsidR="00B21DD0">
              <w:rPr>
                <w:rFonts w:ascii="Garamond" w:hAnsi="Garamond" w:cs="Calibri"/>
              </w:rPr>
              <w:t>/202</w:t>
            </w:r>
            <w:r>
              <w:rPr>
                <w:rFonts w:ascii="Garamond" w:hAnsi="Garamond" w:cs="Calibri"/>
              </w:rPr>
              <w:t>4</w:t>
            </w:r>
            <w:r w:rsidR="00B21DD0">
              <w:rPr>
                <w:rFonts w:ascii="Garamond" w:hAnsi="Garamond" w:cs="Calibri"/>
              </w:rPr>
              <w:t>, Parma</w:t>
            </w:r>
          </w:p>
        </w:tc>
      </w:tr>
      <w:tr w:rsidR="00DE0B3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DE0B39" w:rsidRDefault="00B21DD0">
            <w:pPr>
              <w:rPr>
                <w:rFonts w:ascii="Garamond" w:hAnsi="Garamond" w:cs="Calibri"/>
                <w:b/>
              </w:rPr>
            </w:pPr>
            <w:r>
              <w:rPr>
                <w:rFonts w:ascii="Garamond" w:hAnsi="Garamond" w:cs="Calibri"/>
                <w:b/>
              </w:rPr>
              <w:t>Incaricato del controllo: Ing. Paola Cassinelli - Firma</w:t>
            </w:r>
          </w:p>
        </w:tc>
      </w:tr>
      <w:tr w:rsidR="00DE0B3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DE0B39" w:rsidRDefault="00B21DD0">
            <w:pPr>
              <w:rPr>
                <w:rFonts w:ascii="Garamond" w:hAnsi="Garamond" w:cs="Calibri"/>
                <w:b/>
              </w:rPr>
            </w:pPr>
            <w:r>
              <w:rPr>
                <w:rFonts w:ascii="Garamond" w:hAnsi="Garamond" w:cs="Calibri"/>
                <w:b/>
              </w:rPr>
              <w:t>Responsabile del controllo: Ing. Paola Cassinelli - Firma</w:t>
            </w:r>
          </w:p>
        </w:tc>
      </w:tr>
    </w:tbl>
    <w:p w:rsidR="00DE0B39" w:rsidRDefault="00DE0B39">
      <w:pPr>
        <w:rPr>
          <w:rFonts w:ascii="Garamond" w:hAnsi="Garamond"/>
        </w:rPr>
      </w:pPr>
    </w:p>
    <w:p w:rsidR="00DE0B39" w:rsidRDefault="00DE0B39">
      <w:pPr>
        <w:rPr>
          <w:rFonts w:ascii="Garamond" w:hAnsi="Garamond"/>
        </w:rPr>
      </w:pPr>
    </w:p>
    <w:p w:rsidR="00DE0B39" w:rsidRDefault="00DE0B39">
      <w:pPr>
        <w:rPr>
          <w:rFonts w:ascii="Garamond" w:hAnsi="Garamond"/>
        </w:rPr>
      </w:pPr>
    </w:p>
    <w:p w:rsidR="00DE0B39" w:rsidRDefault="00DE0B39"/>
    <w:p w:rsidR="00DE0B39" w:rsidRDefault="00DE0B39">
      <w:pPr>
        <w:rPr>
          <w:rFonts w:ascii="Garamond" w:hAnsi="Garamond"/>
        </w:rPr>
      </w:pPr>
    </w:p>
    <w:sectPr w:rsidR="00DE0B3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F42" w:rsidRDefault="00C82F42">
      <w:pPr>
        <w:spacing w:after="0" w:line="240" w:lineRule="auto"/>
      </w:pPr>
      <w:r>
        <w:separator/>
      </w:r>
    </w:p>
  </w:endnote>
  <w:endnote w:type="continuationSeparator" w:id="0">
    <w:p w:rsidR="00C82F42" w:rsidRDefault="00C8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0" w:rsidRDefault="00B21DD0">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24</w:t>
    </w:r>
    <w:r>
      <w:rPr>
        <w:rFonts w:ascii="Garamond" w:hAnsi="Garamond"/>
        <w:sz w:val="20"/>
        <w:szCs w:val="20"/>
      </w:rPr>
      <w:fldChar w:fldCharType="end"/>
    </w:r>
  </w:p>
  <w:p w:rsidR="00B21DD0" w:rsidRDefault="00B21D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F42" w:rsidRDefault="00C82F42">
      <w:pPr>
        <w:spacing w:after="0" w:line="240" w:lineRule="auto"/>
      </w:pPr>
      <w:r>
        <w:separator/>
      </w:r>
    </w:p>
  </w:footnote>
  <w:footnote w:type="continuationSeparator" w:id="0">
    <w:p w:rsidR="00C82F42" w:rsidRDefault="00C8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D0" w:rsidRDefault="00B21DD0">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B21DD0" w:rsidRDefault="00B21DD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349A"/>
    <w:multiLevelType w:val="multilevel"/>
    <w:tmpl w:val="81E6E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21135F"/>
    <w:multiLevelType w:val="multilevel"/>
    <w:tmpl w:val="B21C85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63BC6"/>
    <w:multiLevelType w:val="multilevel"/>
    <w:tmpl w:val="B4F83F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EB4E3F"/>
    <w:multiLevelType w:val="multilevel"/>
    <w:tmpl w:val="0946FC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7625AAA"/>
    <w:multiLevelType w:val="multilevel"/>
    <w:tmpl w:val="03123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2C7B5B"/>
    <w:multiLevelType w:val="multilevel"/>
    <w:tmpl w:val="4D04F8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9B7840"/>
    <w:multiLevelType w:val="multilevel"/>
    <w:tmpl w:val="1374C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8E3AAF"/>
    <w:multiLevelType w:val="multilevel"/>
    <w:tmpl w:val="F76476BC"/>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1D65545"/>
    <w:multiLevelType w:val="multilevel"/>
    <w:tmpl w:val="FB547D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8"/>
  </w:num>
  <w:num w:numId="4">
    <w:abstractNumId w:val="4"/>
  </w:num>
  <w:num w:numId="5">
    <w:abstractNumId w:val="2"/>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39"/>
    <w:rsid w:val="002956D4"/>
    <w:rsid w:val="009D4030"/>
    <w:rsid w:val="00B21DD0"/>
    <w:rsid w:val="00B30C84"/>
    <w:rsid w:val="00C82F42"/>
    <w:rsid w:val="00DE0B39"/>
    <w:rsid w:val="00DE5C10"/>
    <w:rsid w:val="00ED6D01"/>
    <w:rsid w:val="00EE580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D26E"/>
  <w15:docId w15:val="{E87D21C9-B224-4AD5-B1BE-6188E03C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07979-F94B-49FB-A77A-288FBF65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24</Pages>
  <Words>4772</Words>
  <Characters>27205</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3</cp:revision>
  <dcterms:created xsi:type="dcterms:W3CDTF">2024-03-12T08:33:00Z</dcterms:created>
  <dcterms:modified xsi:type="dcterms:W3CDTF">2024-03-12T11:14:00Z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