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62"/>
        <w:gridCol w:w="3244"/>
        <w:gridCol w:w="816"/>
        <w:gridCol w:w="2410"/>
        <w:gridCol w:w="3558"/>
        <w:gridCol w:w="422"/>
        <w:gridCol w:w="2721"/>
        <w:gridCol w:w="148"/>
        <w:gridCol w:w="74"/>
        <w:gridCol w:w="24"/>
        <w:gridCol w:w="195"/>
        <w:gridCol w:w="74"/>
        <w:gridCol w:w="193"/>
        <w:gridCol w:w="146"/>
      </w:tblGrid>
      <w:tr w:rsidR="00DE0B39">
        <w:trPr>
          <w:trHeight w:val="313"/>
        </w:trPr>
        <w:tc>
          <w:tcPr>
            <w:tcW w:w="264" w:type="dxa"/>
            <w:shd w:val="clear" w:color="000000" w:fill="FFFFFF"/>
            <w:vAlign w:val="bottom"/>
          </w:tcPr>
          <w:p w:rsidR="00DE0B39" w:rsidRDefault="00B21DD0" w:rsidP="00B21DD0">
            <w:pPr>
              <w:spacing w:after="0" w:line="240" w:lineRule="auto"/>
              <w:jc w:val="both"/>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30" w:type="dxa"/>
            <w:gridSpan w:val="7"/>
            <w:vMerge w:val="restart"/>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PROCEDURE DI APPALTO AI SENSI DEL D. lgs. n. 50/2016 e </w:t>
            </w:r>
            <w:proofErr w:type="spellStart"/>
            <w:r>
              <w:rPr>
                <w:rFonts w:ascii="Garamond" w:eastAsia="Times New Roman" w:hAnsi="Garamond" w:cstheme="minorHAnsi"/>
                <w:b/>
                <w:bCs/>
                <w:color w:val="FFFFFF"/>
                <w:lang w:eastAsia="it-IT"/>
              </w:rPr>
              <w:t>ss.mm.ii</w:t>
            </w:r>
            <w:proofErr w:type="spellEnd"/>
            <w:r>
              <w:rPr>
                <w:rFonts w:ascii="Garamond" w:eastAsia="Times New Roman" w:hAnsi="Garamond" w:cstheme="minorHAnsi"/>
                <w:b/>
                <w:bCs/>
                <w:color w:val="FFFFFF"/>
                <w:lang w:eastAsia="it-IT"/>
              </w:rPr>
              <w:t>.</w:t>
            </w:r>
          </w:p>
        </w:tc>
        <w:tc>
          <w:tcPr>
            <w:tcW w:w="267" w:type="dxa"/>
            <w:gridSpan w:val="3"/>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DE0B39" w:rsidRDefault="00DE0B39"/>
        </w:tc>
      </w:tr>
      <w:tr w:rsidR="00DE0B39">
        <w:trPr>
          <w:trHeight w:val="284"/>
        </w:trPr>
        <w:tc>
          <w:tcPr>
            <w:tcW w:w="264"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30" w:type="dxa"/>
            <w:gridSpan w:val="7"/>
            <w:vMerge/>
            <w:vAlign w:val="center"/>
          </w:tcPr>
          <w:p w:rsidR="00DE0B39" w:rsidRDefault="00DE0B39">
            <w:pPr>
              <w:spacing w:after="0" w:line="240" w:lineRule="auto"/>
              <w:rPr>
                <w:rFonts w:ascii="Garamond" w:eastAsia="Times New Roman" w:hAnsi="Garamond" w:cstheme="minorHAnsi"/>
                <w:color w:val="FFFFFF"/>
                <w:lang w:eastAsia="it-IT"/>
              </w:rPr>
            </w:pPr>
          </w:p>
        </w:tc>
        <w:tc>
          <w:tcPr>
            <w:tcW w:w="267" w:type="dxa"/>
            <w:gridSpan w:val="3"/>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DE0B39" w:rsidRDefault="00DE0B39"/>
        </w:tc>
      </w:tr>
      <w:tr w:rsidR="00DE0B39">
        <w:trPr>
          <w:trHeight w:val="256"/>
        </w:trPr>
        <w:tc>
          <w:tcPr>
            <w:tcW w:w="264" w:type="dxa"/>
            <w:shd w:val="clear" w:color="000000" w:fill="FFFFFF"/>
            <w:vAlign w:val="center"/>
          </w:tcPr>
          <w:p w:rsidR="00DE0B39" w:rsidRDefault="00B21DD0">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430" w:type="dxa"/>
            <w:gridSpan w:val="7"/>
            <w:vMerge/>
            <w:vAlign w:val="center"/>
          </w:tcPr>
          <w:p w:rsidR="00DE0B39" w:rsidRDefault="00DE0B39">
            <w:pPr>
              <w:spacing w:after="0" w:line="240" w:lineRule="auto"/>
              <w:rPr>
                <w:rFonts w:ascii="Garamond" w:eastAsia="Times New Roman" w:hAnsi="Garamond" w:cstheme="minorHAnsi"/>
                <w:color w:val="FFFFFF"/>
                <w:lang w:eastAsia="it-IT"/>
              </w:rPr>
            </w:pPr>
          </w:p>
        </w:tc>
        <w:tc>
          <w:tcPr>
            <w:tcW w:w="267" w:type="dxa"/>
            <w:gridSpan w:val="3"/>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DE0B39" w:rsidRDefault="00DE0B39"/>
        </w:tc>
      </w:tr>
      <w:tr w:rsidR="00DE0B39">
        <w:trPr>
          <w:trHeight w:val="273"/>
        </w:trPr>
        <w:tc>
          <w:tcPr>
            <w:tcW w:w="264"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30" w:type="dxa"/>
            <w:gridSpan w:val="7"/>
            <w:vMerge/>
            <w:vAlign w:val="center"/>
          </w:tcPr>
          <w:p w:rsidR="00DE0B39" w:rsidRDefault="00DE0B39">
            <w:pPr>
              <w:spacing w:after="0" w:line="240" w:lineRule="auto"/>
              <w:rPr>
                <w:rFonts w:ascii="Garamond" w:eastAsia="Times New Roman" w:hAnsi="Garamond" w:cstheme="minorHAnsi"/>
                <w:color w:val="FFFFFF"/>
                <w:lang w:eastAsia="it-IT"/>
              </w:rPr>
            </w:pPr>
          </w:p>
        </w:tc>
        <w:tc>
          <w:tcPr>
            <w:tcW w:w="267" w:type="dxa"/>
            <w:gridSpan w:val="3"/>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DE0B39" w:rsidRDefault="00DE0B39"/>
        </w:tc>
      </w:tr>
      <w:tr w:rsidR="00DE0B39">
        <w:trPr>
          <w:trHeight w:val="273"/>
        </w:trPr>
        <w:tc>
          <w:tcPr>
            <w:tcW w:w="264"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30" w:type="dxa"/>
            <w:gridSpan w:val="7"/>
            <w:vMerge/>
            <w:vAlign w:val="center"/>
          </w:tcPr>
          <w:p w:rsidR="00DE0B39" w:rsidRDefault="00DE0B39">
            <w:pPr>
              <w:spacing w:after="0" w:line="240" w:lineRule="auto"/>
              <w:rPr>
                <w:rFonts w:ascii="Garamond" w:eastAsia="Times New Roman" w:hAnsi="Garamond" w:cstheme="minorHAnsi"/>
                <w:color w:val="FFFFFF"/>
                <w:lang w:eastAsia="it-IT"/>
              </w:rPr>
            </w:pPr>
          </w:p>
        </w:tc>
        <w:tc>
          <w:tcPr>
            <w:tcW w:w="267" w:type="dxa"/>
            <w:gridSpan w:val="3"/>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DE0B39" w:rsidRDefault="00DE0B39"/>
        </w:tc>
      </w:tr>
      <w:tr w:rsidR="00DE0B39">
        <w:trPr>
          <w:trHeight w:val="273"/>
        </w:trPr>
        <w:tc>
          <w:tcPr>
            <w:tcW w:w="264"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80"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33"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96"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3"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50"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2"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3"/>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50"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DE0B39">
        <w:trPr>
          <w:trHeight w:val="535"/>
        </w:trPr>
        <w:tc>
          <w:tcPr>
            <w:tcW w:w="264" w:type="dxa"/>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4080" w:type="dxa"/>
            <w:gridSpan w:val="2"/>
            <w:tcBorders>
              <w:bottom w:val="single" w:sz="2" w:space="0" w:color="000000"/>
            </w:tcBorders>
            <w:shd w:val="clear" w:color="auto" w:fill="auto"/>
            <w:vAlign w:val="center"/>
          </w:tcPr>
          <w:p w:rsidR="00DE0B39" w:rsidRDefault="00DE0B39">
            <w:pPr>
              <w:spacing w:after="0" w:line="240" w:lineRule="auto"/>
              <w:rPr>
                <w:rFonts w:ascii="Garamond" w:eastAsia="Times New Roman" w:hAnsi="Garamond" w:cstheme="minorHAnsi"/>
                <w:color w:val="000000"/>
                <w:lang w:eastAsia="it-IT"/>
              </w:rPr>
            </w:pPr>
          </w:p>
        </w:tc>
        <w:tc>
          <w:tcPr>
            <w:tcW w:w="2433" w:type="dxa"/>
            <w:tcBorders>
              <w:bottom w:val="single" w:sz="2" w:space="0" w:color="000000"/>
            </w:tcBorders>
            <w:shd w:val="clear" w:color="auto" w:fill="auto"/>
            <w:vAlign w:val="center"/>
          </w:tcPr>
          <w:p w:rsidR="00DE0B39" w:rsidRDefault="00DE0B39">
            <w:pPr>
              <w:spacing w:after="0" w:line="240" w:lineRule="auto"/>
              <w:rPr>
                <w:rFonts w:ascii="Garamond" w:eastAsia="Times New Roman" w:hAnsi="Garamond" w:cstheme="minorHAnsi"/>
                <w:lang w:eastAsia="it-IT"/>
              </w:rPr>
            </w:pPr>
          </w:p>
        </w:tc>
        <w:tc>
          <w:tcPr>
            <w:tcW w:w="3596" w:type="dxa"/>
            <w:tcBorders>
              <w:bottom w:val="single" w:sz="2" w:space="0" w:color="000000"/>
            </w:tcBorders>
            <w:shd w:val="clear" w:color="auto" w:fill="auto"/>
            <w:vAlign w:val="center"/>
          </w:tcPr>
          <w:p w:rsidR="00DE0B39" w:rsidRDefault="00DE0B39">
            <w:pPr>
              <w:spacing w:after="0" w:line="240" w:lineRule="auto"/>
              <w:jc w:val="right"/>
              <w:rPr>
                <w:rFonts w:ascii="Garamond" w:eastAsia="Times New Roman" w:hAnsi="Garamond" w:cstheme="minorHAnsi"/>
                <w:lang w:eastAsia="it-IT"/>
              </w:rPr>
            </w:pPr>
          </w:p>
        </w:tc>
        <w:tc>
          <w:tcPr>
            <w:tcW w:w="423" w:type="dxa"/>
            <w:tcBorders>
              <w:bottom w:val="single" w:sz="2" w:space="0" w:color="000000"/>
            </w:tcBorders>
            <w:shd w:val="clear" w:color="auto" w:fill="auto"/>
            <w:vAlign w:val="center"/>
          </w:tcPr>
          <w:p w:rsidR="00DE0B39" w:rsidRDefault="00DE0B39">
            <w:pPr>
              <w:spacing w:after="0" w:line="240" w:lineRule="auto"/>
              <w:jc w:val="right"/>
              <w:rPr>
                <w:rFonts w:ascii="Garamond" w:eastAsia="Times New Roman" w:hAnsi="Garamond" w:cstheme="minorHAnsi"/>
                <w:lang w:eastAsia="it-IT"/>
              </w:rPr>
            </w:pPr>
          </w:p>
        </w:tc>
        <w:tc>
          <w:tcPr>
            <w:tcW w:w="2750" w:type="dxa"/>
            <w:tcBorders>
              <w:bottom w:val="single" w:sz="2" w:space="0" w:color="000000"/>
            </w:tcBorders>
            <w:shd w:val="clear" w:color="auto" w:fill="auto"/>
            <w:vAlign w:val="center"/>
          </w:tcPr>
          <w:p w:rsidR="00DE0B39" w:rsidRDefault="00DE0B39">
            <w:pPr>
              <w:spacing w:after="0" w:line="240" w:lineRule="auto"/>
              <w:jc w:val="right"/>
              <w:rPr>
                <w:rFonts w:ascii="Garamond" w:eastAsia="Times New Roman" w:hAnsi="Garamond" w:cstheme="minorHAnsi"/>
                <w:lang w:eastAsia="it-IT"/>
              </w:rPr>
            </w:pPr>
          </w:p>
        </w:tc>
        <w:tc>
          <w:tcPr>
            <w:tcW w:w="222" w:type="dxa"/>
            <w:gridSpan w:val="2"/>
            <w:tcBorders>
              <w:bottom w:val="single" w:sz="2" w:space="0" w:color="000000"/>
            </w:tcBorders>
            <w:shd w:val="clear" w:color="auto" w:fill="auto"/>
            <w:vAlign w:val="center"/>
          </w:tcPr>
          <w:p w:rsidR="00DE0B39" w:rsidRDefault="00DE0B39">
            <w:pPr>
              <w:spacing w:after="0" w:line="240" w:lineRule="auto"/>
              <w:jc w:val="center"/>
              <w:rPr>
                <w:rFonts w:ascii="Garamond" w:eastAsia="Times New Roman" w:hAnsi="Garamond" w:cstheme="minorHAnsi"/>
                <w:lang w:eastAsia="it-IT"/>
              </w:rPr>
            </w:pPr>
          </w:p>
        </w:tc>
        <w:tc>
          <w:tcPr>
            <w:tcW w:w="267" w:type="dxa"/>
            <w:gridSpan w:val="3"/>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50"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DE0B39">
        <w:trPr>
          <w:trHeight w:val="535"/>
        </w:trPr>
        <w:tc>
          <w:tcPr>
            <w:tcW w:w="264" w:type="dxa"/>
            <w:tcBorders>
              <w:right w:val="single" w:sz="2" w:space="0" w:color="000000"/>
            </w:tcBorders>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528"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69" w:type="dxa"/>
            <w:tcBorders>
              <w:left w:val="single" w:sz="2" w:space="0" w:color="000000"/>
            </w:tcBorders>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56"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3.3: Piano di messa in sicurezza e riqualificazione dell’edilizia scolastica</w:t>
            </w:r>
          </w:p>
        </w:tc>
        <w:tc>
          <w:tcPr>
            <w:tcW w:w="169" w:type="dxa"/>
            <w:tcBorders>
              <w:left w:val="single" w:sz="2" w:space="0" w:color="000000"/>
            </w:tcBorders>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D56F23000000006</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adeguamento sismico istituto </w:t>
            </w:r>
            <w:proofErr w:type="spellStart"/>
            <w:r>
              <w:rPr>
                <w:rFonts w:ascii="Garamond" w:eastAsia="Times New Roman" w:hAnsi="Garamond" w:cstheme="minorHAnsi"/>
                <w:lang w:eastAsia="it-IT"/>
              </w:rPr>
              <w:t>Paciolo</w:t>
            </w:r>
            <w:proofErr w:type="spellEnd"/>
            <w:r>
              <w:rPr>
                <w:rFonts w:ascii="Garamond" w:eastAsia="Times New Roman" w:hAnsi="Garamond" w:cstheme="minorHAnsi"/>
                <w:lang w:eastAsia="it-IT"/>
              </w:rPr>
              <w:t xml:space="preserve"> di Fidenza</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EE580F">
            <w:pPr>
              <w:spacing w:after="0" w:line="240" w:lineRule="auto"/>
            </w:pPr>
            <w:r>
              <w:rPr>
                <w:rFonts w:ascii="Garamond" w:eastAsia="Times New Roman" w:hAnsi="Garamond" w:cstheme="minorHAnsi"/>
                <w:lang w:eastAsia="it-IT"/>
              </w:rPr>
              <w:t>Provincia di Parma</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ED6D01" w:rsidP="00B30C84">
            <w:pPr>
              <w:spacing w:after="0" w:line="240" w:lineRule="auto"/>
              <w:rPr>
                <w:rFonts w:ascii="Garamond" w:eastAsia="Times New Roman" w:hAnsi="Garamond" w:cstheme="minorHAnsi"/>
                <w:lang w:eastAsia="it-IT"/>
              </w:rPr>
            </w:pPr>
            <w:r w:rsidRPr="00ED6D01">
              <w:rPr>
                <w:rFonts w:ascii="Garamond" w:eastAsia="Times New Roman" w:hAnsi="Garamond" w:cstheme="minorHAnsi"/>
                <w:lang w:eastAsia="it-IT"/>
              </w:rPr>
              <w:t>€ 1.243.000,00</w:t>
            </w:r>
            <w:r>
              <w:rPr>
                <w:rFonts w:ascii="Garamond" w:eastAsia="Times New Roman" w:hAnsi="Garamond" w:cstheme="minorHAnsi"/>
                <w:lang w:eastAsia="it-IT"/>
              </w:rPr>
              <w:t xml:space="preserve"> </w:t>
            </w:r>
            <w:r w:rsidR="00B30C84" w:rsidRPr="00B30C84">
              <w:rPr>
                <w:rFonts w:ascii="Garamond" w:eastAsia="Times New Roman" w:hAnsi="Garamond" w:cstheme="minorHAnsi"/>
                <w:lang w:eastAsia="it-IT"/>
              </w:rPr>
              <w:t>(€</w:t>
            </w:r>
            <w:r w:rsidR="00B30C84">
              <w:rPr>
                <w:rFonts w:ascii="Garamond" w:eastAsia="Times New Roman" w:hAnsi="Garamond" w:cstheme="minorHAnsi"/>
                <w:lang w:eastAsia="it-IT"/>
              </w:rPr>
              <w:t xml:space="preserve"> 1.130.000,00 </w:t>
            </w:r>
            <w:r w:rsidR="00B30C84" w:rsidRPr="00B30C84">
              <w:rPr>
                <w:rFonts w:ascii="Garamond" w:eastAsia="Times New Roman" w:hAnsi="Garamond" w:cstheme="minorHAnsi"/>
                <w:lang w:eastAsia="it-IT"/>
              </w:rPr>
              <w:t xml:space="preserve">fondi PNRR + € </w:t>
            </w:r>
            <w:r w:rsidR="00B30C84">
              <w:rPr>
                <w:rFonts w:ascii="Garamond" w:eastAsia="Times New Roman" w:hAnsi="Garamond" w:cstheme="minorHAnsi"/>
                <w:lang w:eastAsia="it-IT"/>
              </w:rPr>
              <w:t>113</w:t>
            </w:r>
            <w:r w:rsidR="00B30C84" w:rsidRPr="00B30C84">
              <w:rPr>
                <w:rFonts w:ascii="Garamond" w:eastAsia="Times New Roman" w:hAnsi="Garamond" w:cstheme="minorHAnsi"/>
                <w:lang w:eastAsia="it-IT"/>
              </w:rPr>
              <w:t>.</w:t>
            </w:r>
            <w:r w:rsidR="00B30C84">
              <w:rPr>
                <w:rFonts w:ascii="Garamond" w:eastAsia="Times New Roman" w:hAnsi="Garamond" w:cstheme="minorHAnsi"/>
                <w:lang w:eastAsia="it-IT"/>
              </w:rPr>
              <w:t>000</w:t>
            </w:r>
            <w:r w:rsidR="00B30C84" w:rsidRPr="00B30C84">
              <w:rPr>
                <w:rFonts w:ascii="Garamond" w:eastAsia="Times New Roman" w:hAnsi="Garamond" w:cstheme="minorHAnsi"/>
                <w:lang w:eastAsia="it-IT"/>
              </w:rPr>
              <w:t>,</w:t>
            </w:r>
            <w:r w:rsidR="00B30C84">
              <w:rPr>
                <w:rFonts w:ascii="Garamond" w:eastAsia="Times New Roman" w:hAnsi="Garamond" w:cstheme="minorHAnsi"/>
                <w:lang w:eastAsia="it-IT"/>
              </w:rPr>
              <w:t>00</w:t>
            </w:r>
            <w:r w:rsidR="00B30C84" w:rsidRPr="00B30C84">
              <w:rPr>
                <w:rFonts w:ascii="Garamond" w:eastAsia="Times New Roman" w:hAnsi="Garamond" w:cstheme="minorHAnsi"/>
                <w:lang w:eastAsia="it-IT"/>
              </w:rPr>
              <w:t xml:space="preserve"> fondi comma 370 L. 29 dicembre 2022 n. 197) di cui IVA € 116</w:t>
            </w:r>
            <w:r w:rsidR="00B30C84">
              <w:rPr>
                <w:rFonts w:ascii="Garamond" w:eastAsia="Times New Roman" w:hAnsi="Garamond" w:cstheme="minorHAnsi"/>
                <w:lang w:eastAsia="it-IT"/>
              </w:rPr>
              <w:t>.</w:t>
            </w:r>
            <w:r w:rsidR="00B30C84" w:rsidRPr="00B30C84">
              <w:rPr>
                <w:rFonts w:ascii="Garamond" w:eastAsia="Times New Roman" w:hAnsi="Garamond" w:cstheme="minorHAnsi"/>
                <w:lang w:eastAsia="it-IT"/>
              </w:rPr>
              <w:t>185,25</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€ 1.130.000,00 di cui IVA € 106.830,00</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Lavori</w:t>
            </w:r>
          </w:p>
          <w:p w:rsidR="00DE0B39" w:rsidRDefault="00B21DD0">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Acquisto fornitura o servizi</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DE0B39" w:rsidRDefault="00B21DD0">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Affidamento diretto</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w:t>
            </w:r>
            <w:proofErr w:type="spellStart"/>
            <w:r>
              <w:rPr>
                <w:rFonts w:ascii="Garamond" w:eastAsia="Times New Roman" w:hAnsi="Garamond" w:cstheme="minorHAnsi"/>
                <w:lang w:eastAsia="it-IT"/>
              </w:rPr>
              <w:t>ss.mm.ii</w:t>
            </w:r>
            <w:proofErr w:type="spellEnd"/>
            <w:r>
              <w:rPr>
                <w:rFonts w:ascii="Garamond" w:eastAsia="Times New Roman" w:hAnsi="Garamond" w:cstheme="minorHAnsi"/>
                <w:lang w:eastAsia="it-IT"/>
              </w:rPr>
              <w:t>.</w:t>
            </w:r>
          </w:p>
          <w:p w:rsidR="00DE0B39" w:rsidRDefault="00B21DD0">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30C84">
            <w:pPr>
              <w:spacing w:after="0" w:line="240" w:lineRule="auto"/>
              <w:rPr>
                <w:rFonts w:ascii="Garamond" w:eastAsia="Times New Roman" w:hAnsi="Garamond" w:cstheme="minorHAnsi"/>
                <w:lang w:eastAsia="it-IT"/>
              </w:rPr>
            </w:pPr>
            <w:r>
              <w:rPr>
                <w:rFonts w:ascii="Garamond" w:eastAsia="Times New Roman" w:hAnsi="Garamond" w:cstheme="minorHAnsi"/>
                <w:b/>
                <w:bCs/>
                <w:color w:val="3465A4"/>
                <w:lang w:eastAsia="it-IT"/>
              </w:rPr>
              <w:t>Da acquisire (procedura SATER)</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PROGETTO DI “ADEGUAMENTO SISMICO ISTITUTO PACIOLO DI FIDENZA” CUP D56F23000000006 (FIN. UE - NEXT GENERATION EU (M4-C1-I.3.3) - </w:t>
            </w:r>
            <w:r w:rsidR="004F40BD">
              <w:rPr>
                <w:rFonts w:ascii="Garamond" w:eastAsia="Times New Roman" w:hAnsi="Garamond" w:cstheme="minorHAnsi"/>
                <w:lang w:eastAsia="it-IT"/>
              </w:rPr>
              <w:t>Incarico Collaudo TECNICO AMMINISTRATIVO e collaudo STATICO FINALE e IN CORSO D’OPERA</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cstheme="minorHAnsi"/>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431"/>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ISTITUTO PACIOLO DI FIDENZA</w:t>
            </w:r>
          </w:p>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Via Manzoni 6, 43036 Fidenza (PR)</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p w:rsidR="00DE0B39" w:rsidRDefault="00DE0B39">
            <w:pPr>
              <w:spacing w:after="0" w:line="240" w:lineRule="auto"/>
              <w:rPr>
                <w:rFonts w:ascii="Garamond" w:eastAsia="Times New Roman" w:hAnsi="Garamond" w:cstheme="minorHAnsi"/>
                <w:color w:val="000000"/>
                <w:lang w:eastAsia="it-IT"/>
              </w:rPr>
            </w:pPr>
          </w:p>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8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272"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DE0B39" w:rsidRDefault="00B21DD0">
            <w:pPr>
              <w:spacing w:after="0" w:line="240" w:lineRule="auto"/>
              <w:rPr>
                <w:rFonts w:cstheme="minorHAnsi"/>
              </w:rPr>
            </w:pPr>
            <w:r>
              <w:rPr>
                <w:rFonts w:ascii="Garamond" w:eastAsia="Times New Roman" w:hAnsi="Garamond" w:cstheme="minorHAnsi"/>
                <w:lang w:eastAsia="it-IT"/>
              </w:rPr>
              <w:t>Avvio: [</w:t>
            </w:r>
            <w:r w:rsidR="004F40BD">
              <w:rPr>
                <w:rFonts w:ascii="Garamond" w:eastAsia="Times New Roman" w:hAnsi="Garamond" w:cstheme="minorHAnsi"/>
                <w:lang w:eastAsia="it-IT"/>
              </w:rPr>
              <w:t>25/06/</w:t>
            </w:r>
            <w:r>
              <w:rPr>
                <w:rFonts w:ascii="Garamond" w:eastAsia="Times New Roman" w:hAnsi="Garamond" w:cstheme="minorHAnsi"/>
                <w:lang w:eastAsia="it-IT"/>
              </w:rPr>
              <w:t>202</w:t>
            </w:r>
            <w:r w:rsidR="009D4030">
              <w:rPr>
                <w:rFonts w:ascii="Garamond" w:eastAsia="Times New Roman" w:hAnsi="Garamond" w:cstheme="minorHAnsi"/>
                <w:lang w:eastAsia="it-IT"/>
              </w:rPr>
              <w:t>4</w:t>
            </w:r>
            <w:r>
              <w:rPr>
                <w:rFonts w:ascii="Garamond" w:eastAsia="Times New Roman" w:hAnsi="Garamond" w:cstheme="minorHAnsi"/>
                <w:lang w:eastAsia="it-IT"/>
              </w:rPr>
              <w:t xml:space="preserve"> (avvio Trattativa diretta su SATER)]</w:t>
            </w:r>
          </w:p>
          <w:p w:rsidR="00DE0B39" w:rsidRDefault="00B21DD0">
            <w:pPr>
              <w:spacing w:after="0" w:line="240" w:lineRule="auto"/>
              <w:rPr>
                <w:rFonts w:cstheme="minorHAnsi"/>
              </w:rPr>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4F40BD">
            <w:pPr>
              <w:spacing w:after="0" w:line="240" w:lineRule="auto"/>
              <w:rPr>
                <w:rFonts w:ascii="Garamond" w:eastAsia="Times New Roman" w:hAnsi="Garamond" w:cstheme="minorHAnsi"/>
                <w:lang w:eastAsia="it-IT"/>
              </w:rPr>
            </w:pPr>
            <w:r w:rsidRPr="004F40BD">
              <w:rPr>
                <w:rFonts w:ascii="Garamond" w:eastAsia="Times New Roman" w:hAnsi="Garamond" w:cstheme="minorHAnsi"/>
                <w:lang w:eastAsia="it-IT"/>
              </w:rPr>
              <w:t>€ 11.932,90, soggetto a ribasso, oltre a cassa previdenziale e I.V.A. di legge</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4F40BD">
            <w:pPr>
              <w:spacing w:after="0" w:line="240" w:lineRule="auto"/>
              <w:rPr>
                <w:rFonts w:ascii="Garamond" w:eastAsia="Times New Roman" w:hAnsi="Garamond" w:cstheme="minorHAnsi"/>
                <w:lang w:eastAsia="it-IT"/>
              </w:rPr>
            </w:pPr>
            <w:r w:rsidRPr="004F40BD">
              <w:rPr>
                <w:rFonts w:ascii="Garamond" w:eastAsia="Times New Roman" w:hAnsi="Garamond" w:cstheme="minorHAnsi"/>
                <w:lang w:eastAsia="it-IT"/>
              </w:rPr>
              <w:t>Ing. Marco Gardoni con sede in Via Tomaso Campanella 16 - 43125 Parma (PR) - C.F. GRDMRC79D25G337M - Partita I.V.A. 02373600341</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pPr>
            <w:r>
              <w:rPr>
                <w:rFonts w:ascii="Garamond" w:eastAsia="Times New Roman" w:hAnsi="Garamond" w:cstheme="minorHAnsi"/>
                <w:b/>
                <w:bCs/>
                <w:color w:val="3465A4"/>
                <w:lang w:eastAsia="it-IT"/>
              </w:rPr>
              <w:t>Stipulato a seguito di avvenuta esecutività dell’atto adottando</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4F40BD">
            <w:pPr>
              <w:spacing w:after="0" w:line="240" w:lineRule="auto"/>
              <w:rPr>
                <w:rFonts w:ascii="Garamond" w:eastAsia="Times New Roman" w:hAnsi="Garamond" w:cstheme="minorHAnsi"/>
                <w:lang w:eastAsia="it-IT"/>
              </w:rPr>
            </w:pPr>
            <w:r w:rsidRPr="004F40BD">
              <w:rPr>
                <w:rFonts w:ascii="Garamond" w:eastAsia="Times New Roman" w:hAnsi="Garamond" w:cstheme="minorHAnsi"/>
                <w:color w:val="000000"/>
                <w:lang w:eastAsia="it-IT"/>
              </w:rPr>
              <w:t>€ 11.930,00, oltre a cassa previdenziale corrispondente a € 477,20, oltre a I.V.A di legge</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4F40BD">
            <w:pPr>
              <w:spacing w:after="0" w:line="240" w:lineRule="auto"/>
              <w:rPr>
                <w:rFonts w:ascii="Garamond" w:eastAsia="Times New Roman" w:hAnsi="Garamond" w:cstheme="minorHAnsi"/>
                <w:lang w:eastAsia="it-IT"/>
              </w:rPr>
            </w:pPr>
            <w:r>
              <w:rPr>
                <w:rFonts w:ascii="Garamond" w:eastAsia="Times New Roman" w:hAnsi="Garamond" w:cstheme="minorHAnsi"/>
                <w:color w:val="000000"/>
                <w:lang w:eastAsia="it-IT"/>
              </w:rPr>
              <w:t>€ 3.206,78</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4F40BD">
            <w:pPr>
              <w:spacing w:after="0" w:line="240" w:lineRule="auto"/>
            </w:pPr>
            <w:r w:rsidRPr="004F40BD">
              <w:rPr>
                <w:rFonts w:ascii="Garamond" w:eastAsia="Times New Roman" w:hAnsi="Garamond" w:cstheme="minorHAnsi"/>
                <w:lang w:eastAsia="it-IT"/>
              </w:rPr>
              <w:t>€ 15.136,78</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4F40BD">
            <w:pPr>
              <w:spacing w:after="0" w:line="240" w:lineRule="auto"/>
              <w:rPr>
                <w:rFonts w:ascii="Garamond" w:eastAsia="Times New Roman" w:hAnsi="Garamond" w:cstheme="minorHAnsi"/>
                <w:lang w:eastAsia="it-IT"/>
              </w:rPr>
            </w:pPr>
            <w:r>
              <w:rPr>
                <w:rFonts w:ascii="Garamond" w:eastAsia="Times New Roman" w:hAnsi="Garamond" w:cstheme="minorHAnsi"/>
                <w:color w:val="000000"/>
                <w:lang w:eastAsia="it-IT"/>
              </w:rPr>
              <w:t>0,</w:t>
            </w:r>
            <w:proofErr w:type="gramStart"/>
            <w:r>
              <w:rPr>
                <w:rFonts w:ascii="Garamond" w:eastAsia="Times New Roman" w:hAnsi="Garamond" w:cstheme="minorHAnsi"/>
                <w:color w:val="000000"/>
                <w:lang w:eastAsia="it-IT"/>
              </w:rPr>
              <w:t xml:space="preserve">02  </w:t>
            </w:r>
            <w:r w:rsidR="00B21DD0">
              <w:rPr>
                <w:rFonts w:ascii="Garamond" w:eastAsia="Times New Roman" w:hAnsi="Garamond" w:cstheme="minorHAnsi"/>
                <w:color w:val="000000"/>
                <w:lang w:eastAsia="it-IT"/>
              </w:rPr>
              <w:t>%</w:t>
            </w:r>
            <w:proofErr w:type="gramEnd"/>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bl>
    <w:p w:rsidR="00DE0B39" w:rsidRDefault="00DE0B39">
      <w:pPr>
        <w:rPr>
          <w:rFonts w:ascii="Garamond" w:hAnsi="Garamond"/>
        </w:rPr>
      </w:pPr>
    </w:p>
    <w:p w:rsidR="00DE0B39" w:rsidRDefault="00DE0B39">
      <w:pPr>
        <w:rPr>
          <w:rFonts w:ascii="Garamond" w:hAnsi="Garamond"/>
        </w:rPr>
      </w:pPr>
    </w:p>
    <w:tbl>
      <w:tblPr>
        <w:tblW w:w="5000" w:type="pct"/>
        <w:tblCellMar>
          <w:left w:w="70" w:type="dxa"/>
          <w:right w:w="70" w:type="dxa"/>
        </w:tblCellMar>
        <w:tblLook w:val="04A0" w:firstRow="1" w:lastRow="0" w:firstColumn="1" w:lastColumn="0" w:noHBand="0" w:noVBand="1"/>
      </w:tblPr>
      <w:tblGrid>
        <w:gridCol w:w="672"/>
        <w:gridCol w:w="4543"/>
        <w:gridCol w:w="568"/>
        <w:gridCol w:w="682"/>
        <w:gridCol w:w="797"/>
        <w:gridCol w:w="2202"/>
        <w:gridCol w:w="2039"/>
        <w:gridCol w:w="2774"/>
      </w:tblGrid>
      <w:tr w:rsidR="00DE0B39">
        <w:trPr>
          <w:trHeight w:val="1500"/>
          <w:tblHeader/>
        </w:trPr>
        <w:tc>
          <w:tcPr>
            <w:tcW w:w="5220"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68"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82"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97"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203"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03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776"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DE0B39" w:rsidRDefault="00B21DD0">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DE0B39" w:rsidRDefault="00B21DD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11"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sz w:val="20"/>
                <w:lang w:eastAsia="it-IT"/>
              </w:rPr>
            </w:pP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DE0B39">
        <w:trPr>
          <w:trHeight w:val="135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DE0B39">
        <w:trPr>
          <w:trHeight w:val="82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alle fasi progettuali già approvate;</w:t>
            </w:r>
          </w:p>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DE0B39">
        <w:trPr>
          <w:trHeight w:val="66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highlight w:val="yellow"/>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DE0B39" w:rsidRDefault="00B21DD0">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DE0B39">
        <w:trPr>
          <w:trHeight w:val="173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DE0B39" w:rsidRDefault="00B21DD0">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rsidR="00DE0B39" w:rsidRDefault="00B21DD0">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DE0B39" w:rsidRDefault="00B21DD0">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superamento dei divari territoriali.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DE0B39">
        <w:trPr>
          <w:trHeight w:val="186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highlight w:val="yellow"/>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DE0B39" w:rsidRDefault="00B21DD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11"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DE0B39" w:rsidRDefault="00B21DD0">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DE0B39">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l’esecuzione di lavori/servizi/forniture è stato applicato il Regime (1 o 2) previsto per la specifica Misura?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 </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•Progetto/Scheda progettuale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DNSH</w:t>
            </w:r>
          </w:p>
        </w:tc>
      </w:tr>
      <w:tr w:rsidR="00DE0B39">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Allineamento della prestazione agli obiettivi del progetto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DE0B39">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E0B39">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DE0B39">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DE0B39">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DE0B39" w:rsidRDefault="00B21DD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11"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DE0B39" w:rsidRDefault="00B21DD0">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DE0B39" w:rsidRDefault="00DE0B39">
            <w:pPr>
              <w:spacing w:after="0" w:line="240" w:lineRule="auto"/>
              <w:rPr>
                <w:rFonts w:ascii="Garamond" w:eastAsia="Times New Roman" w:hAnsi="Garamond" w:cs="Times New Roman"/>
                <w:color w:val="000000"/>
                <w:sz w:val="20"/>
                <w:lang w:eastAsia="it-IT"/>
              </w:rPr>
            </w:pP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DE0B39">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82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rsidR="00DE0B39" w:rsidRDefault="00B21DD0">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ad una Centrale di committenza o a soggetti aggregatori qualificati?</w:t>
            </w:r>
          </w:p>
          <w:p w:rsidR="00DE0B39" w:rsidRDefault="00B21DD0">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rsidR="00DE0B39" w:rsidRDefault="00B21DD0">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N.B.: comma in deroga fino al 30 giugno 2023, ma non per i progetti cofinanziati con PNRR o PNC</w:t>
            </w:r>
          </w:p>
          <w:p w:rsidR="00DE0B39" w:rsidRDefault="00DE0B39">
            <w:pPr>
              <w:spacing w:after="0" w:line="240" w:lineRule="auto"/>
              <w:jc w:val="both"/>
              <w:rPr>
                <w:rFonts w:ascii="Garamond" w:eastAsia="Times New Roman" w:hAnsi="Garamond" w:cs="Times New Roman"/>
                <w:i/>
                <w:iCs/>
                <w:color w:val="000000"/>
                <w:lang w:eastAsia="it-IT"/>
              </w:rPr>
            </w:pP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DE0B39">
        <w:trPr>
          <w:trHeight w:val="82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DE0B39">
        <w:trPr>
          <w:trHeight w:val="66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 xml:space="preserve">Nel caso di opere pubbliche, prima dell’inizio delle procedure di affidamento, gli elaborati progettuali sono stati verificati e validati ai sensi dell’art. 26, </w:t>
            </w:r>
            <w:r>
              <w:rPr>
                <w:rFonts w:ascii="Garamond" w:eastAsia="Times New Roman" w:hAnsi="Garamond" w:cs="Times New Roman"/>
                <w:color w:val="000000"/>
                <w:lang w:eastAsia="it-IT"/>
              </w:rPr>
              <w:lastRenderedPageBreak/>
              <w:t>comma 8, del d.lgs. n. 50/2016, nonché approvati ai sensi dell’art. 27 del d. lgs 50/2016 medesimo?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highlight w:val="yellow"/>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highlight w:val="yellow"/>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DE0B39" w:rsidRDefault="00DE0B39">
            <w:pPr>
              <w:spacing w:after="0" w:line="240" w:lineRule="auto"/>
              <w:rPr>
                <w:rFonts w:ascii="Garamond" w:eastAsia="Times New Roman" w:hAnsi="Garamond" w:cs="Times New Roman"/>
                <w:color w:val="000000"/>
                <w:sz w:val="20"/>
                <w:lang w:eastAsia="it-IT"/>
              </w:rPr>
            </w:pP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lastRenderedPageBreak/>
              <w:t>•Progetto di fattibilità tecnica ed economica, progetto definitivo, progetto esecutivo;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verifica svolti in contraddittorio con i progettisti</w:t>
            </w:r>
          </w:p>
        </w:tc>
      </w:tr>
      <w:tr w:rsidR="00DE0B39">
        <w:trPr>
          <w:trHeight w:val="173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lgs. n. 50/2016. </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•Dimostrazione dell’avvenuta pubblicazione ai sensi dell'art. 29 d.lgs. n. 50/2016</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DE0B39" w:rsidRDefault="00B21DD0">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DE0B39" w:rsidRDefault="00B21DD0">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L’affidamento è avvenuto nel rispetto dei principi generali del codice quali rotazione, economicità, </w:t>
            </w:r>
            <w:r>
              <w:rPr>
                <w:rFonts w:ascii="Garamond" w:eastAsia="Times New Roman" w:hAnsi="Garamond" w:cs="Times New Roman"/>
                <w:color w:val="000000"/>
                <w:lang w:eastAsia="it-IT"/>
              </w:rPr>
              <w:lastRenderedPageBreak/>
              <w:t>efficacia, tempestività, correttezza, libera concorrenza, non discriminazione e parità di trattamento, trasparenza e pubblicità, proporzionalità, nonché dei criteri di sostenibilità energetica e ambientale?</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10</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DE0B39">
        <w:trPr>
          <w:trHeight w:val="131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DE0B39" w:rsidRDefault="00B21DD0">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DE0B39" w:rsidRDefault="00B21DD0">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DE0B39" w:rsidRDefault="00B21DD0">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DE0B39" w:rsidRDefault="00B21DD0">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valutazione e la relativa ponderazione?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DE0B39" w:rsidRDefault="00B21DD0">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DE0B39" w:rsidRDefault="00B21DD0">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DE0B39" w:rsidRDefault="00B21DD0">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DE0B39" w:rsidRDefault="00B21DD0">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DE0B39" w:rsidRDefault="00B21DD0">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DE0B39" w:rsidRDefault="00B21DD0">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DE0B39">
        <w:trPr>
          <w:trHeight w:val="182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rsidR="00DE0B39" w:rsidRDefault="00DE0B39">
            <w:pPr>
              <w:spacing w:after="0" w:line="240" w:lineRule="auto"/>
              <w:rPr>
                <w:rFonts w:ascii="Garamond" w:eastAsia="Times New Roman" w:hAnsi="Garamond" w:cs="Times New Roman"/>
                <w:color w:val="000000"/>
                <w:lang w:eastAsia="it-IT"/>
              </w:rPr>
            </w:pPr>
          </w:p>
          <w:p w:rsidR="00DE0B39" w:rsidRDefault="00B21DD0">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 (Parere MIMS n. 1300/2022)</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rispettato quanto previsto dagli artt. 72 e 73 del d.l.gs n. 50/2016, dal D.M. del 02/12/2016, e dall’art. 1, comma 2, del D.L. n. 76/2020 e </w:t>
            </w:r>
            <w:proofErr w:type="spellStart"/>
            <w:proofErr w:type="gramStart"/>
            <w:r>
              <w:rPr>
                <w:rFonts w:ascii="Garamond" w:eastAsia="Times New Roman" w:hAnsi="Garamond" w:cs="Times New Roman"/>
                <w:color w:val="000000"/>
                <w:lang w:eastAsia="it-IT"/>
              </w:rPr>
              <w:t>ss.mm.ii</w:t>
            </w:r>
            <w:proofErr w:type="spellEnd"/>
            <w:proofErr w:type="gramEnd"/>
            <w:r>
              <w:rPr>
                <w:rFonts w:ascii="Garamond" w:eastAsia="Times New Roman" w:hAnsi="Garamond" w:cs="Times New Roman"/>
                <w:color w:val="000000"/>
                <w:lang w:eastAsia="it-IT"/>
              </w:rPr>
              <w:t xml:space="preserve"> ovvero dall’art. 36, comma 9, del d.lgs. n. 50/2016, in materia di pubblicazione degli avvisi e dei bandi di gara?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Affidamenti in house</w:t>
            </w:r>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DE0B39">
            <w:pPr>
              <w:spacing w:after="0" w:line="240" w:lineRule="auto"/>
              <w:rPr>
                <w:rFonts w:ascii="Garamond" w:eastAsia="Times New Roman" w:hAnsi="Garamond" w:cs="Times New Roman"/>
                <w:b/>
                <w:bCs/>
                <w:lang w:eastAsia="it-IT"/>
              </w:rPr>
            </w:pPr>
          </w:p>
          <w:p w:rsidR="00DE0B39" w:rsidRDefault="00DE0B39">
            <w:pPr>
              <w:spacing w:after="0" w:line="240" w:lineRule="auto"/>
              <w:rPr>
                <w:rFonts w:ascii="Garamond" w:eastAsia="Times New Roman" w:hAnsi="Garamond" w:cs="Times New Roman"/>
                <w:b/>
                <w:bCs/>
                <w:lang w:eastAsia="it-IT"/>
              </w:rPr>
            </w:pP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sono soddisfatte tutte le condizioni di cui all’art. 5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house; atto formale di riconoscimento della natura di </w:t>
            </w:r>
            <w:r>
              <w:rPr>
                <w:rFonts w:ascii="Garamond" w:eastAsia="Times New Roman" w:hAnsi="Garamond" w:cs="Times New Roman"/>
                <w:i/>
                <w:iCs/>
                <w:color w:val="000000"/>
                <w:sz w:val="20"/>
                <w:lang w:eastAsia="it-IT"/>
              </w:rPr>
              <w:t xml:space="preserve">in house providing </w:t>
            </w:r>
            <w:r>
              <w:rPr>
                <w:rFonts w:ascii="Garamond" w:eastAsia="Times New Roman" w:hAnsi="Garamond" w:cs="Times New Roman"/>
                <w:color w:val="000000"/>
                <w:sz w:val="20"/>
                <w:lang w:eastAsia="it-IT"/>
              </w:rPr>
              <w:t>dell’ente</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contiene le motivazioni del mancato ricorso al mercato? </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house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DE0B39">
            <w:pPr>
              <w:spacing w:after="0" w:line="240" w:lineRule="auto"/>
              <w:rPr>
                <w:rFonts w:ascii="Garamond" w:eastAsia="Times New Roman" w:hAnsi="Garamond" w:cs="Times New Roman"/>
                <w:b/>
                <w:bCs/>
                <w:lang w:eastAsia="it-IT"/>
              </w:rPr>
            </w:pPr>
          </w:p>
          <w:p w:rsidR="00DE0B39" w:rsidRDefault="00DE0B39">
            <w:pPr>
              <w:spacing w:after="0" w:line="240" w:lineRule="auto"/>
              <w:rPr>
                <w:rFonts w:ascii="Garamond" w:eastAsia="Times New Roman" w:hAnsi="Garamond" w:cs="Times New Roman"/>
                <w:b/>
                <w:bCs/>
                <w:lang w:eastAsia="it-IT"/>
              </w:rPr>
            </w:pP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DE0B39" w:rsidRDefault="00DE0B39">
            <w:pPr>
              <w:spacing w:after="0" w:line="240" w:lineRule="auto"/>
              <w:jc w:val="both"/>
              <w:rPr>
                <w:rFonts w:ascii="Garamond" w:eastAsia="Times New Roman" w:hAnsi="Garamond" w:cs="Times New Roman"/>
                <w:color w:val="000000"/>
                <w:lang w:eastAsia="it-IT"/>
              </w:rPr>
            </w:pP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DE0B39">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 comma 7, d. 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Affidamento di cui all’articolo </w:t>
            </w:r>
            <w:r w:rsidR="00DE5C10">
              <w:rPr>
                <w:rFonts w:ascii="Garamond" w:eastAsia="Times New Roman" w:hAnsi="Garamond" w:cs="Times New Roman"/>
                <w:b/>
                <w:bCs/>
                <w:color w:val="000000"/>
                <w:lang w:eastAsia="it-IT"/>
              </w:rPr>
              <w:t>50</w:t>
            </w:r>
            <w:r>
              <w:rPr>
                <w:rFonts w:ascii="Garamond" w:eastAsia="Times New Roman" w:hAnsi="Garamond" w:cs="Times New Roman"/>
                <w:b/>
                <w:bCs/>
                <w:color w:val="000000"/>
                <w:lang w:eastAsia="it-IT"/>
              </w:rPr>
              <w:t xml:space="preserve">, comma </w:t>
            </w:r>
            <w:r w:rsidR="00DE5C10">
              <w:rPr>
                <w:rFonts w:ascii="Garamond" w:eastAsia="Times New Roman" w:hAnsi="Garamond" w:cs="Times New Roman"/>
                <w:b/>
                <w:bCs/>
                <w:color w:val="000000"/>
                <w:lang w:eastAsia="it-IT"/>
              </w:rPr>
              <w:t>1</w:t>
            </w:r>
            <w:r>
              <w:rPr>
                <w:rFonts w:ascii="Garamond" w:eastAsia="Times New Roman" w:hAnsi="Garamond" w:cs="Times New Roman"/>
                <w:b/>
                <w:bCs/>
                <w:color w:val="000000"/>
                <w:lang w:eastAsia="it-IT"/>
              </w:rPr>
              <w:t xml:space="preserve">, lettera </w:t>
            </w:r>
            <w:r w:rsidR="00DE5C10">
              <w:rPr>
                <w:rFonts w:ascii="Garamond" w:eastAsia="Times New Roman" w:hAnsi="Garamond" w:cs="Times New Roman"/>
                <w:b/>
                <w:bCs/>
                <w:color w:val="000000"/>
                <w:lang w:eastAsia="it-IT"/>
              </w:rPr>
              <w:t>b</w:t>
            </w:r>
            <w:r>
              <w:rPr>
                <w:rFonts w:ascii="Garamond" w:eastAsia="Times New Roman" w:hAnsi="Garamond" w:cs="Times New Roman"/>
                <w:b/>
                <w:bCs/>
                <w:color w:val="000000"/>
                <w:lang w:eastAsia="it-IT"/>
              </w:rPr>
              <w:t>) relativamente al quale l’Amministrazione si è avvalsa della facoltà di non richiedere la garanzia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valutazione del prezzo è conforme a quanto disposto dall’art. 95 del d. lgs. n. 50/2016 (offerte inferiori a base di gara, non condizionate, non parziali, verifica eventuali calcoli composizione prezzo offerto)?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DE0B39">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DE0B39">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DE0B39">
        <w:trPr>
          <w:trHeight w:val="1226"/>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DE0B39">
        <w:trPr>
          <w:trHeight w:val="103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DE0B39">
        <w:trPr>
          <w:trHeight w:val="98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DE0B39">
        <w:trPr>
          <w:trHeight w:val="97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DE0B39">
        <w:trPr>
          <w:trHeight w:val="70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F</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DE0B39">
            <w:pPr>
              <w:spacing w:after="0" w:line="240" w:lineRule="auto"/>
              <w:rPr>
                <w:rFonts w:ascii="Garamond" w:eastAsia="Times New Roman" w:hAnsi="Garamond" w:cs="Times New Roman"/>
                <w:b/>
                <w:bCs/>
                <w:lang w:eastAsia="it-IT"/>
              </w:rPr>
            </w:pP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03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DE0B39" w:rsidRDefault="00DE0B39">
            <w:pPr>
              <w:spacing w:after="0" w:line="240" w:lineRule="auto"/>
              <w:jc w:val="both"/>
              <w:rPr>
                <w:rFonts w:ascii="Garamond" w:eastAsia="Times New Roman" w:hAnsi="Garamond" w:cs="Times New Roman"/>
                <w:color w:val="000000"/>
                <w:lang w:eastAsia="it-IT"/>
              </w:rPr>
            </w:pP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17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83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DE0B39" w:rsidRDefault="00DE0B39">
            <w:pPr>
              <w:spacing w:after="0" w:line="240" w:lineRule="auto"/>
              <w:jc w:val="both"/>
              <w:rPr>
                <w:rFonts w:ascii="Garamond" w:eastAsia="Times New Roman" w:hAnsi="Garamond" w:cs="Times New Roman"/>
                <w:color w:val="000000"/>
                <w:lang w:eastAsia="it-IT"/>
              </w:rPr>
            </w:pP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83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rsidR="00DE0B39" w:rsidRDefault="00B21DD0">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DE0B39">
        <w:trPr>
          <w:trHeight w:val="821"/>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DE0B39" w:rsidRDefault="00B21DD0">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DE0B39" w:rsidRDefault="00B21DD0">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DE0B39" w:rsidRDefault="00B21DD0">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DE0B39" w:rsidRDefault="00B21DD0">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per contratti superiori alla soglia comunitaria (IVA esclusa);</w:t>
            </w:r>
          </w:p>
          <w:p w:rsidR="00DE0B39" w:rsidRDefault="00B21DD0">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in corso di validità</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secondo le forme e modalità previste dall’art. 32, comma 14, del d. lgs. n. 50/2016 e firmato da soggetti con poteri di firma?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 Italia?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Affidamento di cui all’articolo </w:t>
            </w:r>
            <w:r w:rsidR="00DE5C10">
              <w:rPr>
                <w:rFonts w:ascii="Garamond" w:eastAsia="Times New Roman" w:hAnsi="Garamond" w:cs="Times New Roman"/>
                <w:b/>
                <w:bCs/>
                <w:color w:val="000000"/>
                <w:lang w:eastAsia="it-IT"/>
              </w:rPr>
              <w:t>50</w:t>
            </w:r>
            <w:r>
              <w:rPr>
                <w:rFonts w:ascii="Garamond" w:eastAsia="Times New Roman" w:hAnsi="Garamond" w:cs="Times New Roman"/>
                <w:b/>
                <w:bCs/>
                <w:color w:val="000000"/>
                <w:lang w:eastAsia="it-IT"/>
              </w:rPr>
              <w:t xml:space="preserve">, comma </w:t>
            </w:r>
            <w:r w:rsidR="00DE5C10">
              <w:rPr>
                <w:rFonts w:ascii="Garamond" w:eastAsia="Times New Roman" w:hAnsi="Garamond" w:cs="Times New Roman"/>
                <w:b/>
                <w:bCs/>
                <w:color w:val="000000"/>
                <w:lang w:eastAsia="it-IT"/>
              </w:rPr>
              <w:t>1</w:t>
            </w:r>
            <w:r>
              <w:rPr>
                <w:rFonts w:ascii="Garamond" w:eastAsia="Times New Roman" w:hAnsi="Garamond" w:cs="Times New Roman"/>
                <w:b/>
                <w:bCs/>
                <w:color w:val="000000"/>
                <w:lang w:eastAsia="it-IT"/>
              </w:rPr>
              <w:t xml:space="preserve">, lettera </w:t>
            </w:r>
            <w:r w:rsidR="00DE5C10">
              <w:rPr>
                <w:rFonts w:ascii="Garamond" w:eastAsia="Times New Roman" w:hAnsi="Garamond" w:cs="Times New Roman"/>
                <w:b/>
                <w:bCs/>
                <w:color w:val="000000"/>
                <w:lang w:eastAsia="it-IT"/>
              </w:rPr>
              <w:t>b</w:t>
            </w:r>
            <w:r>
              <w:rPr>
                <w:rFonts w:ascii="Garamond" w:eastAsia="Times New Roman" w:hAnsi="Garamond" w:cs="Times New Roman"/>
                <w:b/>
                <w:bCs/>
                <w:color w:val="000000"/>
                <w:lang w:eastAsia="it-IT"/>
              </w:rPr>
              <w:t>) relativamente al quale l’Amministrazione si è avvalsa della facoltà di non richiedere la garanzia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w:t>
            </w:r>
            <w:r>
              <w:rPr>
                <w:rFonts w:ascii="Garamond" w:eastAsia="Times New Roman" w:hAnsi="Garamond" w:cs="Times New Roman"/>
                <w:color w:val="000000"/>
                <w:lang w:eastAsia="it-IT"/>
              </w:rPr>
              <w:lastRenderedPageBreak/>
              <w:t xml:space="preserve">un’apposita clausola con la quale l’appaltatore si assume gli obblighi di tracciabilità dei flussi finanziari dì cui alla legge n. 136/2010?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Lettera d’ordine contenente gli elementi essenziali </w:t>
            </w:r>
            <w:r>
              <w:rPr>
                <w:rFonts w:ascii="Garamond" w:eastAsia="Times New Roman" w:hAnsi="Garamond" w:cs="Times New Roman"/>
                <w:b/>
                <w:bCs/>
                <w:color w:val="000000"/>
                <w:lang w:eastAsia="it-IT"/>
              </w:rPr>
              <w:lastRenderedPageBreak/>
              <w:t>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DE0B39" w:rsidRDefault="00B21DD0">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DE0B39" w:rsidRDefault="00B21DD0">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dalla CCIAA o da altro documento si evince il potere di firma in capo all’operatore economico?</w:t>
            </w:r>
          </w:p>
          <w:p w:rsidR="00DE0B39" w:rsidRDefault="00B21DD0">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DE0B39" w:rsidRDefault="00B21DD0">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G</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DE0B39">
            <w:pPr>
              <w:spacing w:after="0" w:line="240" w:lineRule="auto"/>
              <w:rPr>
                <w:rFonts w:ascii="Garamond" w:eastAsia="Times New Roman" w:hAnsi="Garamond" w:cs="Times New Roman"/>
                <w:b/>
                <w:bCs/>
                <w:lang w:eastAsia="it-IT"/>
              </w:rPr>
            </w:pPr>
          </w:p>
        </w:tc>
      </w:tr>
      <w:tr w:rsidR="00DE0B39">
        <w:trPr>
          <w:trHeight w:val="107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presente il verbale di inizio attività/consegna lavori parziale/definitiva?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Verbale di inizio attività/consegna dei lavori</w:t>
            </w:r>
          </w:p>
        </w:tc>
      </w:tr>
      <w:tr w:rsidR="00DE0B39">
        <w:trPr>
          <w:trHeight w:val="107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stato rispettato quanto previsto dall’ art. 105 del d. lgs. n. 50/2016 in merito al subappalto?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color w:val="3465A4"/>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eventuali modifiche o varianti sono state autorizzate dal RUP con le modalità previste dall’ordinamento della stazione appaltante cui il RUP dipende, ai sensi dell’art. 106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sulle varianti/modifiche</w:t>
            </w: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rispettata la durata prevista nel contratto?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emesso il verbale di ultimazione lavori?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trasmesso il certificato di regolare esecuzione/collaudo/certificato di verifica di conformità?</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DE0B39">
            <w:pPr>
              <w:spacing w:after="0" w:line="240" w:lineRule="auto"/>
              <w:rPr>
                <w:rFonts w:ascii="Garamond" w:eastAsia="Times New Roman" w:hAnsi="Garamond" w:cs="Times New Roman"/>
                <w:b/>
                <w:bCs/>
                <w:lang w:eastAsia="it-IT"/>
              </w:rPr>
            </w:pP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Fascicolo e documenti di gara</w:t>
            </w:r>
          </w:p>
        </w:tc>
      </w:tr>
    </w:tbl>
    <w:p w:rsidR="00DE0B39" w:rsidRDefault="00DE0B39"/>
    <w:p w:rsidR="00DE0B39" w:rsidRDefault="00DE0B39"/>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DE0B39">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DE0B39" w:rsidRDefault="00B21DD0">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ESITI</w:t>
            </w:r>
          </w:p>
        </w:tc>
      </w:tr>
      <w:tr w:rsidR="00DE0B39">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DE0B39" w:rsidRDefault="00B21DD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DE0B39" w:rsidRDefault="00B21DD0">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DE0B3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DE0B39" w:rsidRDefault="00DE0B39">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DE0B3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DE0B39" w:rsidRDefault="00DE0B39">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DE0B39" w:rsidRDefault="00DE0B39"/>
    <w:p w:rsidR="00DE0B39" w:rsidRDefault="00DE0B39"/>
    <w:p w:rsidR="00DE0B39" w:rsidRDefault="00DE0B39"/>
    <w:tbl>
      <w:tblPr>
        <w:tblW w:w="2900" w:type="pct"/>
        <w:jc w:val="center"/>
        <w:tblCellMar>
          <w:left w:w="70" w:type="dxa"/>
          <w:right w:w="70" w:type="dxa"/>
        </w:tblCellMar>
        <w:tblLook w:val="04A0" w:firstRow="1" w:lastRow="0" w:firstColumn="1" w:lastColumn="0" w:noHBand="0" w:noVBand="1"/>
      </w:tblPr>
      <w:tblGrid>
        <w:gridCol w:w="4252"/>
        <w:gridCol w:w="4023"/>
      </w:tblGrid>
      <w:tr w:rsidR="00DE0B39">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DE0B39" w:rsidRDefault="00B21DD0">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DE0B39" w:rsidRDefault="00B21DD0">
            <w:pPr>
              <w:spacing w:after="0" w:line="240" w:lineRule="auto"/>
              <w:jc w:val="center"/>
            </w:pPr>
            <w:r>
              <w:rPr>
                <w:rFonts w:ascii="Garamond" w:eastAsia="Times New Roman" w:hAnsi="Garamond" w:cs="Times New Roman"/>
                <w:b/>
                <w:bCs/>
                <w:lang w:eastAsia="it-IT"/>
              </w:rPr>
              <w:t xml:space="preserve">€ </w:t>
            </w:r>
            <w:r>
              <w:rPr>
                <w:rFonts w:ascii="Garamond" w:eastAsia="Times New Roman" w:hAnsi="Garamond" w:cs="Times New Roman"/>
                <w:b/>
                <w:bCs/>
                <w:color w:val="000000"/>
                <w:lang w:eastAsia="it-IT"/>
              </w:rPr>
              <w:t>0,00</w:t>
            </w:r>
          </w:p>
        </w:tc>
      </w:tr>
      <w:tr w:rsidR="00DE0B39">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DE0B39" w:rsidRDefault="004F40BD">
            <w:pPr>
              <w:spacing w:after="0" w:line="240" w:lineRule="auto"/>
              <w:jc w:val="center"/>
            </w:pPr>
            <w:r w:rsidRPr="004F40BD">
              <w:rPr>
                <w:rFonts w:ascii="Garamond" w:eastAsia="Times New Roman" w:hAnsi="Garamond" w:cs="Times New Roman"/>
                <w:bCs/>
                <w:lang w:eastAsia="it-IT"/>
              </w:rPr>
              <w:t>€ 15.136,78</w:t>
            </w:r>
          </w:p>
        </w:tc>
      </w:tr>
      <w:tr w:rsidR="00DE0B39">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DE0B39" w:rsidRDefault="004F40BD">
            <w:pPr>
              <w:spacing w:after="0" w:line="240" w:lineRule="auto"/>
              <w:jc w:val="center"/>
            </w:pPr>
            <w:r w:rsidRPr="004F40BD">
              <w:rPr>
                <w:rFonts w:ascii="Garamond" w:eastAsia="Times New Roman" w:hAnsi="Garamond" w:cs="Times New Roman"/>
                <w:bCs/>
                <w:lang w:eastAsia="it-IT"/>
              </w:rPr>
              <w:t>€ 15.136,78</w:t>
            </w:r>
          </w:p>
        </w:tc>
      </w:tr>
      <w:tr w:rsidR="00DE0B39">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DE0B39" w:rsidRDefault="00B21DD0">
            <w:pPr>
              <w:spacing w:after="0" w:line="240" w:lineRule="auto"/>
              <w:jc w:val="center"/>
            </w:pPr>
            <w:r>
              <w:rPr>
                <w:rFonts w:ascii="Garamond" w:eastAsia="Times New Roman" w:hAnsi="Garamond" w:cs="Times New Roman"/>
                <w:bCs/>
                <w:lang w:eastAsia="it-IT"/>
              </w:rPr>
              <w:t xml:space="preserve">€ </w:t>
            </w:r>
            <w:r>
              <w:rPr>
                <w:rFonts w:ascii="Garamond" w:eastAsia="Times New Roman" w:hAnsi="Garamond" w:cs="Times New Roman"/>
                <w:bCs/>
                <w:color w:val="000000"/>
                <w:lang w:eastAsia="it-IT"/>
              </w:rPr>
              <w:t>0,00</w:t>
            </w:r>
          </w:p>
        </w:tc>
      </w:tr>
    </w:tbl>
    <w:p w:rsidR="00DE0B39" w:rsidRDefault="00DE0B39"/>
    <w:p w:rsidR="00DE0B39" w:rsidRDefault="00DE0B39"/>
    <w:tbl>
      <w:tblPr>
        <w:tblW w:w="4000" w:type="pct"/>
        <w:jc w:val="center"/>
        <w:tblCellMar>
          <w:left w:w="70" w:type="dxa"/>
          <w:right w:w="70" w:type="dxa"/>
        </w:tblCellMar>
        <w:tblLook w:val="04A0" w:firstRow="1" w:lastRow="0" w:firstColumn="1" w:lastColumn="0" w:noHBand="0" w:noVBand="1"/>
      </w:tblPr>
      <w:tblGrid>
        <w:gridCol w:w="11414"/>
      </w:tblGrid>
      <w:tr w:rsidR="00DE0B39">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DE0B39" w:rsidRDefault="00B21DD0">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DE0B39">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DE0B39" w:rsidRDefault="00DE0B39">
            <w:pPr>
              <w:spacing w:after="0" w:line="240" w:lineRule="auto"/>
              <w:jc w:val="center"/>
              <w:rPr>
                <w:rFonts w:ascii="Garamond" w:eastAsia="Times New Roman" w:hAnsi="Garamond" w:cs="Times New Roman"/>
                <w:color w:val="000000"/>
                <w:highlight w:val="yellow"/>
                <w:lang w:eastAsia="it-IT"/>
              </w:rPr>
            </w:pPr>
          </w:p>
        </w:tc>
      </w:tr>
    </w:tbl>
    <w:p w:rsidR="00DE0B39" w:rsidRDefault="00DE0B39">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DE0B39">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B39" w:rsidRDefault="00B21DD0">
            <w:pPr>
              <w:rPr>
                <w:rFonts w:ascii="Garamond" w:hAnsi="Garamond" w:cs="Calibri"/>
                <w:b/>
                <w:bCs/>
              </w:rPr>
            </w:pPr>
            <w:r>
              <w:rPr>
                <w:rFonts w:ascii="Garamond" w:hAnsi="Garamond" w:cs="Calibri"/>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B39" w:rsidRDefault="004F40BD" w:rsidP="00DE5C10">
            <w:pPr>
              <w:jc w:val="center"/>
            </w:pPr>
            <w:r>
              <w:rPr>
                <w:rFonts w:ascii="Garamond" w:hAnsi="Garamond" w:cs="Calibri"/>
              </w:rPr>
              <w:t>01</w:t>
            </w:r>
            <w:r w:rsidR="00B21DD0">
              <w:rPr>
                <w:rFonts w:ascii="Garamond" w:hAnsi="Garamond" w:cs="Calibri"/>
              </w:rPr>
              <w:t>/0</w:t>
            </w:r>
            <w:r>
              <w:rPr>
                <w:rFonts w:ascii="Garamond" w:hAnsi="Garamond" w:cs="Calibri"/>
              </w:rPr>
              <w:t>7</w:t>
            </w:r>
            <w:bookmarkStart w:id="0" w:name="_GoBack"/>
            <w:bookmarkEnd w:id="0"/>
            <w:r w:rsidR="00B21DD0">
              <w:rPr>
                <w:rFonts w:ascii="Garamond" w:hAnsi="Garamond" w:cs="Calibri"/>
              </w:rPr>
              <w:t>/202</w:t>
            </w:r>
            <w:r w:rsidR="00DE5C10">
              <w:rPr>
                <w:rFonts w:ascii="Garamond" w:hAnsi="Garamond" w:cs="Calibri"/>
              </w:rPr>
              <w:t>4</w:t>
            </w:r>
            <w:r w:rsidR="00B21DD0">
              <w:rPr>
                <w:rFonts w:ascii="Garamond" w:hAnsi="Garamond" w:cs="Calibri"/>
              </w:rPr>
              <w:t>, Parma</w:t>
            </w:r>
          </w:p>
        </w:tc>
      </w:tr>
      <w:tr w:rsidR="00DE0B39">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DE0B39" w:rsidRDefault="00B21DD0">
            <w:pPr>
              <w:rPr>
                <w:rFonts w:ascii="Garamond" w:hAnsi="Garamond" w:cs="Calibri"/>
                <w:b/>
              </w:rPr>
            </w:pPr>
            <w:r>
              <w:rPr>
                <w:rFonts w:ascii="Garamond" w:hAnsi="Garamond" w:cs="Calibri"/>
                <w:b/>
              </w:rPr>
              <w:t>Incaricato del controllo: Ing. Paola Cassinelli - Firma</w:t>
            </w:r>
          </w:p>
        </w:tc>
      </w:tr>
      <w:tr w:rsidR="00DE0B39">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DE0B39" w:rsidRDefault="00B21DD0">
            <w:pPr>
              <w:rPr>
                <w:rFonts w:ascii="Garamond" w:hAnsi="Garamond" w:cs="Calibri"/>
                <w:b/>
              </w:rPr>
            </w:pPr>
            <w:r>
              <w:rPr>
                <w:rFonts w:ascii="Garamond" w:hAnsi="Garamond" w:cs="Calibri"/>
                <w:b/>
              </w:rPr>
              <w:t>Responsabile del controllo: Ing. Paola Cassinelli - Firma</w:t>
            </w:r>
          </w:p>
        </w:tc>
      </w:tr>
    </w:tbl>
    <w:p w:rsidR="00DE0B39" w:rsidRDefault="00DE0B39">
      <w:pPr>
        <w:rPr>
          <w:rFonts w:ascii="Garamond" w:hAnsi="Garamond"/>
        </w:rPr>
      </w:pPr>
    </w:p>
    <w:p w:rsidR="00DE0B39" w:rsidRDefault="00DE0B39">
      <w:pPr>
        <w:rPr>
          <w:rFonts w:ascii="Garamond" w:hAnsi="Garamond"/>
        </w:rPr>
      </w:pPr>
    </w:p>
    <w:p w:rsidR="00DE0B39" w:rsidRDefault="00DE0B39">
      <w:pPr>
        <w:rPr>
          <w:rFonts w:ascii="Garamond" w:hAnsi="Garamond"/>
        </w:rPr>
      </w:pPr>
    </w:p>
    <w:p w:rsidR="00DE0B39" w:rsidRDefault="00DE0B39"/>
    <w:p w:rsidR="00DE0B39" w:rsidRDefault="00DE0B39">
      <w:pPr>
        <w:rPr>
          <w:rFonts w:ascii="Garamond" w:hAnsi="Garamond"/>
        </w:rPr>
      </w:pPr>
    </w:p>
    <w:sectPr w:rsidR="00DE0B39">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483" w:rsidRDefault="00133483">
      <w:pPr>
        <w:spacing w:after="0" w:line="240" w:lineRule="auto"/>
      </w:pPr>
      <w:r>
        <w:separator/>
      </w:r>
    </w:p>
  </w:endnote>
  <w:endnote w:type="continuationSeparator" w:id="0">
    <w:p w:rsidR="00133483" w:rsidRDefault="0013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DD0" w:rsidRDefault="00B21DD0">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Pr>
        <w:rFonts w:ascii="Garamond" w:hAnsi="Garamond"/>
        <w:sz w:val="20"/>
        <w:szCs w:val="20"/>
      </w:rPr>
      <w:t>24</w:t>
    </w:r>
    <w:r>
      <w:rPr>
        <w:rFonts w:ascii="Garamond" w:hAnsi="Garamond"/>
        <w:sz w:val="20"/>
        <w:szCs w:val="20"/>
      </w:rPr>
      <w:fldChar w:fldCharType="end"/>
    </w:r>
  </w:p>
  <w:p w:rsidR="00B21DD0" w:rsidRDefault="00B21D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483" w:rsidRDefault="00133483">
      <w:pPr>
        <w:spacing w:after="0" w:line="240" w:lineRule="auto"/>
      </w:pPr>
      <w:r>
        <w:separator/>
      </w:r>
    </w:p>
  </w:footnote>
  <w:footnote w:type="continuationSeparator" w:id="0">
    <w:p w:rsidR="00133483" w:rsidRDefault="00133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DD0" w:rsidRDefault="00B21DD0">
    <w:pPr>
      <w:pStyle w:val="Intestazione"/>
      <w:jc w:val="center"/>
    </w:pPr>
    <w:r>
      <w:rPr>
        <w:noProof/>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B21DD0" w:rsidRDefault="00B21DD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349A"/>
    <w:multiLevelType w:val="multilevel"/>
    <w:tmpl w:val="81E6E2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21135F"/>
    <w:multiLevelType w:val="multilevel"/>
    <w:tmpl w:val="B21C85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B63BC6"/>
    <w:multiLevelType w:val="multilevel"/>
    <w:tmpl w:val="B4F83F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EB4E3F"/>
    <w:multiLevelType w:val="multilevel"/>
    <w:tmpl w:val="0946FC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7625AAA"/>
    <w:multiLevelType w:val="multilevel"/>
    <w:tmpl w:val="03123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2C7B5B"/>
    <w:multiLevelType w:val="multilevel"/>
    <w:tmpl w:val="4D04F8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9B7840"/>
    <w:multiLevelType w:val="multilevel"/>
    <w:tmpl w:val="1374C4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8E3AAF"/>
    <w:multiLevelType w:val="multilevel"/>
    <w:tmpl w:val="F76476BC"/>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1D65545"/>
    <w:multiLevelType w:val="multilevel"/>
    <w:tmpl w:val="FB547D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8"/>
  </w:num>
  <w:num w:numId="4">
    <w:abstractNumId w:val="4"/>
  </w:num>
  <w:num w:numId="5">
    <w:abstractNumId w:val="2"/>
  </w:num>
  <w:num w:numId="6">
    <w:abstractNumId w:val="6"/>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39"/>
    <w:rsid w:val="00133483"/>
    <w:rsid w:val="002956D4"/>
    <w:rsid w:val="004F40BD"/>
    <w:rsid w:val="009D4030"/>
    <w:rsid w:val="00B21DD0"/>
    <w:rsid w:val="00B30C84"/>
    <w:rsid w:val="00C82F42"/>
    <w:rsid w:val="00DE0B39"/>
    <w:rsid w:val="00DE5C10"/>
    <w:rsid w:val="00ED6D01"/>
    <w:rsid w:val="00EE580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7CA4"/>
  <w15:docId w15:val="{E87D21C9-B224-4AD5-B1BE-6188E03C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4.xml><?xml version="1.0" encoding="utf-8"?>
<ds:datastoreItem xmlns:ds="http://schemas.openxmlformats.org/officeDocument/2006/customXml" ds:itemID="{317C0022-7D26-4D05-9F63-6144B99D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4801</Words>
  <Characters>27372</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Matteo Piovani</cp:lastModifiedBy>
  <cp:revision>5</cp:revision>
  <dcterms:created xsi:type="dcterms:W3CDTF">2024-03-12T08:33:00Z</dcterms:created>
  <dcterms:modified xsi:type="dcterms:W3CDTF">2024-07-01T11:07:00Z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