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0" w:type="dxa"/>
        <w:tblCellMar>
          <w:top w:w="0" w:type="dxa"/>
          <w:left w:w="70" w:type="dxa"/>
          <w:bottom w:w="0" w:type="dxa"/>
          <w:right w:w="70" w:type="dxa"/>
        </w:tblCellMar>
        <w:tblLook w:firstRow="0" w:noVBand="0" w:lastRow="0" w:firstColumn="0" w:lastColumn="0" w:noHBand="0" w:val="0000"/>
      </w:tblPr>
      <w:tblGrid>
        <w:gridCol w:w="1908"/>
        <w:gridCol w:w="2454"/>
        <w:gridCol w:w="3398"/>
        <w:gridCol w:w="462"/>
        <w:gridCol w:w="1224"/>
        <w:gridCol w:w="1104"/>
      </w:tblGrid>
      <w:tr>
        <w:trPr>
          <w:trHeight w:val="975" w:hRule="atLeast"/>
          <w:cantSplit w:val="true"/>
        </w:trPr>
        <w:tc>
          <w:tcPr>
            <w:tcW w:w="1908"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4"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8"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8" w:type="dxa"/>
            <w:gridSpan w:val="2"/>
            <w:tcBorders/>
          </w:tcPr>
          <w:p>
            <w:pPr>
              <w:pStyle w:val="Titolo1"/>
              <w:shd w:fill="F2F2F2" w:val="clear"/>
              <w:spacing w:before="113" w:after="113"/>
              <w:ind w:right="-144" w:hanging="0"/>
              <w:rPr>
                <w:b w:val="false"/>
                <w:b w:val="false"/>
                <w:sz w:val="16"/>
              </w:rPr>
            </w:pPr>
            <w:r>
              <w:rPr>
                <w:b w:val="false"/>
                <w:sz w:val="16"/>
              </w:rPr>
              <w:t>Viale Martiri</w:t>
            </w:r>
          </w:p>
          <w:p>
            <w:pPr>
              <w:pStyle w:val="Titolo1"/>
              <w:shd w:fill="F2F2F2" w:val="clear"/>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6"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14:anchorId="0BD046CC">
                      <wp:simplePos x="0" y="0"/>
                      <wp:positionH relativeFrom="column">
                        <wp:posOffset>-9525</wp:posOffset>
                      </wp:positionH>
                      <wp:positionV relativeFrom="paragraph">
                        <wp:posOffset>28575</wp:posOffset>
                      </wp:positionV>
                      <wp:extent cx="7060565" cy="1270"/>
                      <wp:effectExtent l="38100" t="38100" r="30600" b="38100"/>
                      <wp:wrapNone/>
                      <wp:docPr id="2" name="Connettore diritto 2"/>
                      <a:graphic xmlns:a="http://schemas.openxmlformats.org/drawingml/2006/main">
                        <a:graphicData uri="http://schemas.microsoft.com/office/word/2010/wordprocessingShape">
                          <wps:wsp>
                            <wps:cNvSpPr/>
                            <wps:spPr>
                              <a:xfrm>
                                <a:off x="0" y="0"/>
                                <a:ext cx="705996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75pt,2.25pt" to="555.1pt,2.25pt" ID="Connettore diritto 2" stroked="t" style="position:absolute" wp14:anchorId="0BD046CC">
                      <v:stroke color="silver" weight="38160" joinstyle="miter" endcap="square"/>
                      <v:fill o:detectmouseclick="t" on="false"/>
                    </v:line>
                  </w:pict>
                </mc:Fallback>
              </mc:AlternateContent>
            </w:r>
          </w:p>
        </w:tc>
        <w:tc>
          <w:tcPr>
            <w:tcW w:w="1104" w:type="dxa"/>
            <w:tcBorders/>
          </w:tcPr>
          <w:p>
            <w:pPr>
              <w:pStyle w:val="Standard"/>
              <w:snapToGrid w:val="false"/>
              <w:ind w:right="-144" w:hanging="0"/>
              <w:rPr>
                <w:b/>
                <w:b/>
                <w:color w:val="808080"/>
              </w:rPr>
            </w:pPr>
            <w:r>
              <w:rPr>
                <w:b/>
                <w:color w:val="808080"/>
              </w:rPr>
            </w:r>
          </w:p>
        </w:tc>
      </w:tr>
      <w:tr>
        <w:trPr>
          <w:trHeight w:val="103" w:hRule="atLeast"/>
          <w:cantSplit w:val="true"/>
        </w:trPr>
        <w:tc>
          <w:tcPr>
            <w:tcW w:w="1908" w:type="dxa"/>
            <w:tcBorders/>
          </w:tcPr>
          <w:p>
            <w:pPr>
              <w:pStyle w:val="Titolo6"/>
              <w:ind w:right="-144" w:hanging="0"/>
              <w:jc w:val="left"/>
              <w:rPr>
                <w:lang w:val="fr-FR"/>
              </w:rPr>
            </w:pPr>
            <w:r>
              <w:rPr>
                <w:lang w:val="fr-FR"/>
              </w:rPr>
              <w:t xml:space="preserve"> </w:t>
            </w:r>
            <w:r>
              <w:rPr>
                <w:lang w:val="fr-FR"/>
              </w:rPr>
              <w:t>Ing. Paola Cassinelli</w:t>
            </w:r>
          </w:p>
        </w:tc>
        <w:tc>
          <w:tcPr>
            <w:tcW w:w="2454" w:type="dxa"/>
            <w:tcBorders/>
          </w:tcPr>
          <w:p>
            <w:pPr>
              <w:pStyle w:val="Intestazione"/>
              <w:widowControl/>
              <w:tabs>
                <w:tab w:val="clear" w:pos="4819"/>
                <w:tab w:val="clear" w:pos="9638"/>
              </w:tabs>
              <w:snapToGrid w:val="false"/>
              <w:ind w:left="1348" w:right="-144" w:hanging="0"/>
              <w:rPr>
                <w:lang w:val="fr-FR"/>
              </w:rPr>
            </w:pPr>
            <w:r>
              <w:rPr>
                <w:lang w:val="fr-FR"/>
              </w:rPr>
            </w:r>
          </w:p>
        </w:tc>
        <w:tc>
          <w:tcPr>
            <w:tcW w:w="3398"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90"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 xml:space="preserve">Parma, </w:t>
      </w:r>
      <w:r>
        <w:rPr>
          <w:rFonts w:cs="Verdana" w:ascii="Verdana" w:hAnsi="Verdana"/>
        </w:rPr>
        <w:tab/>
        <w:t xml:space="preserve">    Prot n.</w:t>
      </w:r>
    </w:p>
    <w:p>
      <w:pPr>
        <w:pStyle w:val="Standard"/>
        <w:tabs>
          <w:tab w:val="clear" w:pos="720"/>
          <w:tab w:val="left" w:pos="3384" w:leader="none"/>
          <w:tab w:val="left" w:pos="5385" w:leader="none"/>
        </w:tabs>
        <w:ind w:firstLine="5669"/>
        <w:rPr>
          <w:rFonts w:ascii="Verdana" w:hAnsi="Verdana" w:cs="Verdana"/>
        </w:rPr>
      </w:pPr>
      <w:r>
        <w:rPr>
          <w:rFonts w:cs="Verdana" w:ascii="Verdana" w:hAnsi="Verdana"/>
          <w:shd w:fill="FFFFFF" w:val="clear"/>
        </w:rPr>
        <w:t>Spett.le</w:t>
      </w:r>
    </w:p>
    <w:p>
      <w:pPr>
        <w:pStyle w:val="Standard"/>
        <w:tabs>
          <w:tab w:val="clear" w:pos="720"/>
          <w:tab w:val="left" w:pos="5670" w:leader="none"/>
        </w:tabs>
        <w:rPr/>
      </w:pPr>
      <w:r>
        <w:rPr>
          <w:rFonts w:cs="Verdana" w:ascii="Verdana" w:hAnsi="Verdana"/>
          <w:iCs/>
          <w:color w:val="000000"/>
          <w:spacing w:val="10"/>
          <w:kern w:val="2"/>
          <w:shd w:fill="FFFFFF" w:val="clear"/>
        </w:rPr>
        <w:tab/>
      </w:r>
      <w:r>
        <w:rPr>
          <w:rStyle w:val="Enfasiforte"/>
          <w:rFonts w:eastAsia="ArialMT;Arial" w:cs="Arial" w:ascii="Verdana" w:hAnsi="Verdana"/>
          <w:color w:val="000000"/>
          <w:kern w:val="2"/>
        </w:rPr>
        <w:t>Isolservice Fidenza S.R.L.</w:t>
      </w:r>
    </w:p>
    <w:p>
      <w:pPr>
        <w:pStyle w:val="Standard"/>
        <w:tabs>
          <w:tab w:val="clear" w:pos="720"/>
          <w:tab w:val="left" w:pos="5670" w:leader="none"/>
        </w:tabs>
        <w:rPr/>
      </w:pPr>
      <w:r>
        <w:rPr>
          <w:rFonts w:cs="Verdana" w:ascii="Verdana" w:hAnsi="Verdana"/>
          <w:shd w:fill="FFFFFF" w:val="clear"/>
        </w:rPr>
        <w:tab/>
      </w:r>
      <w:r>
        <w:rPr>
          <w:rFonts w:cs="Arial" w:ascii="Verdana" w:hAnsi="Verdana"/>
          <w:color w:val="000000"/>
          <w:kern w:val="2"/>
        </w:rPr>
        <w:t>Via Gramizzi, 14 – zona art.le La B</w:t>
      </w:r>
      <w:r>
        <w:rPr>
          <w:rFonts w:cs="Arial" w:ascii="Verdana" w:hAnsi="Verdana"/>
          <w:color w:val="000000"/>
          <w:kern w:val="2"/>
        </w:rPr>
        <w:t>ionda</w:t>
      </w:r>
      <w:r>
        <w:rPr>
          <w:rFonts w:cs="Arial" w:ascii="Verdana" w:hAnsi="Verdana"/>
          <w:color w:val="000000"/>
          <w:kern w:val="2"/>
        </w:rPr>
        <w:t xml:space="preserve">  </w:t>
      </w:r>
    </w:p>
    <w:p>
      <w:pPr>
        <w:pStyle w:val="Standard"/>
        <w:tabs>
          <w:tab w:val="clear" w:pos="720"/>
          <w:tab w:val="left" w:pos="5670" w:leader="none"/>
        </w:tabs>
        <w:rPr>
          <w:rFonts w:ascii="Verdana" w:hAnsi="Verdana" w:cs="Verdana"/>
        </w:rPr>
      </w:pPr>
      <w:r>
        <w:rPr>
          <w:rFonts w:cs="Verdana" w:ascii="Verdana" w:hAnsi="Verdana"/>
          <w:shd w:fill="FFFFFF" w:val="clear"/>
        </w:rPr>
        <w:tab/>
      </w:r>
      <w:r>
        <w:rPr>
          <w:rFonts w:cs="Arial" w:ascii="Verdana" w:hAnsi="Verdana"/>
          <w:color w:val="000000"/>
          <w:kern w:val="2"/>
        </w:rPr>
        <w:t>43036</w:t>
      </w:r>
      <w:r>
        <w:rPr>
          <w:rStyle w:val="Enfasiforte"/>
          <w:rFonts w:eastAsia="ArialMT" w:cs="Arial" w:ascii="Verdana" w:hAnsi="Verdana"/>
          <w:b w:val="false"/>
          <w:bCs w:val="false"/>
          <w:color w:val="000000"/>
        </w:rPr>
        <w:t xml:space="preserve"> Fidenza (PR)</w:t>
      </w:r>
    </w:p>
    <w:p>
      <w:pPr>
        <w:pStyle w:val="Standard"/>
        <w:widowControl/>
        <w:tabs>
          <w:tab w:val="clear" w:pos="720"/>
          <w:tab w:val="left" w:pos="3384" w:leader="none"/>
          <w:tab w:val="left" w:pos="5385" w:leader="none"/>
        </w:tabs>
        <w:suppressAutoHyphens w:val="true"/>
        <w:bidi w:val="0"/>
        <w:spacing w:before="0" w:after="0"/>
        <w:ind w:left="0" w:right="-510" w:firstLine="5669"/>
        <w:jc w:val="left"/>
        <w:textAlignment w:val="baseline"/>
        <w:rPr>
          <w:rFonts w:ascii="Verdana" w:hAnsi="Verdana" w:cs="Verdana"/>
          <w:highlight w:val="white"/>
        </w:rPr>
      </w:pPr>
      <w:r>
        <w:rPr>
          <w:rFonts w:cs="Verdana" w:ascii="Verdana" w:hAnsi="Verdana"/>
          <w:shd w:fill="FFFFFF" w:val="clear"/>
        </w:rPr>
        <w:t xml:space="preserve">E-MAIL: </w:t>
      </w:r>
      <w:hyperlink r:id="rId3">
        <w:r>
          <w:rPr>
            <w:rStyle w:val="CollegamentoInternet"/>
            <w:rFonts w:cs="Verdana" w:ascii="Verdana" w:hAnsi="Verdana"/>
          </w:rPr>
          <w:t>info@isolservicefidenza.it</w:t>
        </w:r>
      </w:hyperlink>
    </w:p>
    <w:p>
      <w:pPr>
        <w:pStyle w:val="Standard"/>
        <w:tabs>
          <w:tab w:val="clear" w:pos="720"/>
          <w:tab w:val="left" w:pos="5670" w:leader="none"/>
        </w:tabs>
        <w:rPr>
          <w:rFonts w:ascii="Verdana" w:hAnsi="Verdana" w:cs="Verdana"/>
          <w:iCs/>
          <w:color w:val="000000"/>
          <w:spacing w:val="10"/>
          <w:kern w:val="2"/>
        </w:rPr>
      </w:pPr>
      <w:r>
        <w:rPr>
          <w:rFonts w:cs="Verdana" w:ascii="Verdana" w:hAnsi="Verdana"/>
          <w:iCs/>
          <w:color w:val="000000"/>
          <w:spacing w:val="10"/>
          <w:kern w:val="2"/>
          <w:shd w:fill="FFFFFF" w:val="clear"/>
        </w:rPr>
        <w:tab/>
      </w:r>
    </w:p>
    <w:p>
      <w:pPr>
        <w:pStyle w:val="Titolo1"/>
        <w:shd w:fill="F2F2F2" w:val="clear"/>
        <w:spacing w:before="567" w:after="567"/>
        <w:jc w:val="center"/>
        <w:rPr/>
      </w:pPr>
      <w:r>
        <w:rPr/>
        <w:t>LETTERA D’ORDINE</w:t>
      </w:r>
    </w:p>
    <w:p>
      <w:pPr>
        <w:pStyle w:val="Titolo2"/>
        <w:ind w:left="1417" w:hanging="1417"/>
        <w:jc w:val="both"/>
        <w:rPr>
          <w:rFonts w:ascii="Verdana" w:hAnsi="Verdana" w:cs="Verdana"/>
          <w:bCs/>
          <w:color w:val="000000"/>
          <w:sz w:val="20"/>
          <w:highlight w:val="yellow"/>
        </w:rPr>
      </w:pPr>
      <w:r>
        <w:rPr>
          <w:rFonts w:cs="Arial"/>
        </w:rPr>
        <w:t>Oggetto:</w:t>
        <w:tab/>
      </w:r>
      <w:r>
        <w:rPr>
          <w:rFonts w:cs="Verdana" w:ascii="Verdana" w:hAnsi="Verdana"/>
          <w:bCs/>
          <w:color w:val="000000"/>
          <w:sz w:val="20"/>
        </w:rPr>
        <w:t>OGGETTO: SERVIZIO EDILIZIA SCOLASTICA: LAVORI DI "MANUTENZIONE STRAORDINARIA SERRAMENTI IPSIA LEVI DI PARMA" CUP D97H21001130003 - INTERVENTI DI COMPLETAMENTO E FINITURA INFISSI – CIG B367115019</w:t>
      </w:r>
    </w:p>
    <w:p>
      <w:pPr>
        <w:pStyle w:val="Titolo2"/>
        <w:ind w:left="1417" w:hanging="0"/>
        <w:jc w:val="left"/>
        <w:rPr>
          <w:i/>
          <w:i/>
          <w:iCs/>
        </w:rPr>
      </w:pPr>
      <w:r>
        <w:rPr>
          <w:i/>
          <w:iCs/>
        </w:rPr>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 xml:space="preserve">con </w:t>
      </w:r>
      <w:r>
        <w:rPr>
          <w:rFonts w:eastAsia="Times New Roman"/>
          <w:highlight w:val="yellow"/>
        </w:rPr>
        <w:t>determinazione      del</w:t>
      </w:r>
      <w:r>
        <w:rPr>
          <w:rFonts w:eastAsia="Times New Roman"/>
        </w:rPr>
        <w:t xml:space="preserve">          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rFonts w:eastAsia="Times New Roman"/>
          <w:color w:val="000000"/>
          <w:lang w:eastAsia="it-IT"/>
        </w:rPr>
        <w:t>l’art. 50 del d.lgs. 36/2023</w:t>
      </w:r>
      <w:r>
        <w:rPr/>
        <w:t>;</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Operatore Economico incaricato</w:t>
      </w:r>
      <w:r>
        <w:rPr>
          <w:shd w:fill="FFFFFF" w:val="clear"/>
        </w:rPr>
        <w:t>: Isolservice Fidenza SRL</w:t>
      </w:r>
      <w:r>
        <w:rPr>
          <w:color w:val="000000"/>
          <w:shd w:fill="FFFFFF" w:val="clear"/>
        </w:rPr>
        <w:t xml:space="preserve">, con sede in </w:t>
      </w:r>
      <w:r>
        <w:rPr>
          <w:shd w:fill="FFFFFF" w:val="clear"/>
        </w:rPr>
        <w:t>Fidenza (PR)</w:t>
      </w:r>
      <w:r>
        <w:rPr>
          <w:color w:val="000000"/>
          <w:shd w:fill="FFFFFF" w:val="clear"/>
        </w:rPr>
        <w:t xml:space="preserve">, via </w:t>
      </w:r>
      <w:r>
        <w:rPr>
          <w:shd w:fill="FFFFFF" w:val="clear"/>
        </w:rPr>
        <w:t>Gramizzi</w:t>
      </w:r>
      <w:r>
        <w:rPr>
          <w:color w:val="000000"/>
          <w:shd w:fill="FFFFFF" w:val="clear"/>
        </w:rPr>
        <w:t xml:space="preserve"> n. 1</w:t>
      </w:r>
      <w:r>
        <w:rPr>
          <w:shd w:fill="FFFFFF" w:val="clear"/>
        </w:rPr>
        <w:t>4 – zona art.le La Bionda - 43036</w:t>
      </w:r>
      <w:r>
        <w:rPr>
          <w:color w:val="000000"/>
          <w:shd w:fill="FFFFFF" w:val="clear"/>
        </w:rPr>
        <w:t>, PI: 0</w:t>
      </w:r>
      <w:r>
        <w:rPr>
          <w:shd w:fill="FFFFFF" w:val="clear"/>
        </w:rPr>
        <w:t>2270300342</w:t>
      </w:r>
    </w:p>
    <w:p>
      <w:pPr>
        <w:pStyle w:val="Corpodeltesto21"/>
        <w:rPr/>
      </w:pPr>
      <w:r>
        <w:rPr/>
      </w:r>
    </w:p>
    <w:p>
      <w:pPr>
        <w:pStyle w:val="Corpodeltesto21"/>
        <w:rPr>
          <w:rFonts w:eastAsia="ArialMT;Arial"/>
          <w:color w:val="000000"/>
          <w:kern w:val="2"/>
          <w:highlight w:val="yellow"/>
        </w:rPr>
      </w:pPr>
      <w:r>
        <w:rPr/>
        <w:t xml:space="preserve">La Provincia di Parma, con riferimento </w:t>
      </w:r>
      <w:r>
        <w:rPr>
          <w:rFonts w:ascii="Arial" w:hAnsi="Arial"/>
        </w:rPr>
        <w:t>LAVORI DI "MANUTENZIONE STRAORDINARIA SERRAMENTI IPSIA LEVI DI PARMA" CUP D97H21001130003</w:t>
      </w:r>
      <w:r>
        <w:rPr>
          <w:color w:val="000000"/>
          <w:spacing w:val="10"/>
          <w:kern w:val="2"/>
          <w:shd w:fill="FFFFFF" w:val="clear"/>
        </w:rPr>
        <w:t xml:space="preserve">, </w:t>
      </w:r>
      <w:r>
        <w:rPr/>
        <w:t xml:space="preserve">conferisce all’Operatore Economico l’incarico per l’esecuzione di: </w:t>
      </w:r>
      <w:r>
        <w:rPr>
          <w:color w:val="000000"/>
          <w:spacing w:val="10"/>
          <w:kern w:val="2"/>
          <w:shd w:fill="FFFFFF" w:val="clear"/>
        </w:rPr>
        <w:t>“</w:t>
      </w:r>
      <w:r>
        <w:rPr>
          <w:rFonts w:eastAsia="ArialMT;Arial"/>
          <w:color w:val="000000"/>
          <w:kern w:val="2"/>
        </w:rPr>
        <w:t>INTERVENTI DI COMPLETAMENTO E FINITURA INFISSI</w:t>
      </w:r>
      <w:r>
        <w:rPr>
          <w:color w:val="000000"/>
          <w:spacing w:val="10"/>
          <w:kern w:val="2"/>
          <w:shd w:fill="FFFFFF" w:val="clear"/>
        </w:rPr>
        <w:t>”</w:t>
      </w:r>
    </w:p>
    <w:p>
      <w:pPr>
        <w:pStyle w:val="Corpodeltesto21"/>
        <w:rPr/>
      </w:pPr>
      <w:r>
        <w:rPr/>
      </w:r>
    </w:p>
    <w:p>
      <w:pPr>
        <w:pStyle w:val="Corpodeltesto21"/>
        <w:rPr/>
      </w:pPr>
      <w:r>
        <w:rPr/>
        <w:t>L’Operatore Economico si impegna ad eseguire le seguenti lavorazioni:</w:t>
      </w:r>
    </w:p>
    <w:p>
      <w:pPr>
        <w:pStyle w:val="NormalWeb"/>
        <w:numPr>
          <w:ilvl w:val="0"/>
          <w:numId w:val="4"/>
        </w:numPr>
        <w:suppressAutoHyphens w:val="false"/>
        <w:spacing w:before="0" w:after="0"/>
        <w:jc w:val="both"/>
        <w:textAlignment w:val="auto"/>
        <w:rPr>
          <w:rFonts w:ascii="Verdana" w:hAnsi="Verdana" w:eastAsia="Verdana" w:cs="Verdana"/>
          <w:sz w:val="20"/>
          <w:szCs w:val="20"/>
        </w:rPr>
      </w:pPr>
      <w:r>
        <w:rPr>
          <w:rFonts w:eastAsia="Verdana" w:cs="Verdana" w:ascii="Verdana" w:hAnsi="Verdana"/>
          <w:sz w:val="20"/>
          <w:szCs w:val="20"/>
        </w:rPr>
        <w:t>Fornitura e posa in opera di veletta/coprifilo in cartongesso realizzata fissando direttamente al serramento una lastra in cartongesso da 12,5 mm mediante viti autoperforanti, profilo di finitura inferiore in PVC bianco, siliconatura con sigillante acrilico in prossimità del CA, stuccatura delle viti e dei giunti, tinteggiatura con idropittura colore bianco. Compreso oneri di piattaforma elettrica verticale. (escluso spostamento arredi, attrezzature, ecc.)</w:t>
      </w:r>
    </w:p>
    <w:p>
      <w:pPr>
        <w:pStyle w:val="NormalWeb"/>
        <w:numPr>
          <w:ilvl w:val="0"/>
          <w:numId w:val="4"/>
        </w:numPr>
        <w:suppressAutoHyphens w:val="false"/>
        <w:spacing w:before="0" w:after="0"/>
        <w:jc w:val="both"/>
        <w:textAlignment w:val="auto"/>
        <w:rPr>
          <w:rFonts w:ascii="Verdana" w:hAnsi="Verdana" w:eastAsia="Verdana" w:cs="Verdana"/>
          <w:sz w:val="20"/>
          <w:szCs w:val="20"/>
        </w:rPr>
      </w:pPr>
      <w:r>
        <w:rPr>
          <w:rFonts w:eastAsia="Verdana" w:cs="Verdana" w:ascii="Verdana" w:hAnsi="Verdana"/>
          <w:sz w:val="20"/>
          <w:szCs w:val="20"/>
        </w:rPr>
        <w:t>Finitura sotto ai meccanismi manuali di apertura precedentemente smontati, con stuccatura dei fori e verniciatura</w:t>
      </w:r>
    </w:p>
    <w:p>
      <w:pPr>
        <w:pStyle w:val="Titolo1"/>
        <w:rPr/>
      </w:pPr>
      <w:r>
        <w:rPr/>
        <w:t>Articolo 2 – Tempi dell’incarico e penali</w:t>
      </w:r>
    </w:p>
    <w:p>
      <w:pPr>
        <w:pStyle w:val="Corpodeltesto21"/>
        <w:rPr/>
      </w:pPr>
      <w:r>
        <w:rPr/>
        <w:t>La prestazione affidata all’Operatore Economico dovrà essere espletata entro e non oltre il 31/12/2024.</w:t>
      </w:r>
    </w:p>
    <w:p>
      <w:pPr>
        <w:pStyle w:val="Corpodeltesto21"/>
        <w:rPr/>
      </w:pPr>
      <w:r>
        <w:rPr/>
      </w:r>
    </w:p>
    <w:p>
      <w:pPr>
        <w:pStyle w:val="Corpodeltesto21"/>
        <w:rPr/>
      </w:pPr>
      <w:r>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pPr>
      <w:r>
        <w:rPr/>
      </w:r>
    </w:p>
    <w:p>
      <w:pPr>
        <w:pStyle w:val="Corpodeltesto21"/>
        <w:rPr/>
      </w:pPr>
      <w:r>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rPr/>
      </w:pPr>
      <w:r>
        <w:rPr/>
        <w:t>Articolo 3 – Corrispettivo</w:t>
      </w:r>
    </w:p>
    <w:p>
      <w:pPr>
        <w:pStyle w:val="Corpodeltesto21"/>
        <w:rPr/>
      </w:pPr>
      <w:r>
        <w:rPr>
          <w:color w:val="000000"/>
          <w:shd w:fill="FFFFFF" w:val="clear"/>
        </w:rPr>
        <w:t xml:space="preserve">Il corrispettivo spettante </w:t>
      </w:r>
      <w:r>
        <w:rPr/>
        <w:t xml:space="preserve">all’Operatore Economico </w:t>
      </w:r>
      <w:r>
        <w:rPr>
          <w:color w:val="000000"/>
          <w:shd w:fill="FFFFFF" w:val="clear"/>
        </w:rPr>
        <w:t>per lo svolgimento dell’incarico è pari ad €. 34533</w:t>
      </w:r>
      <w:r>
        <w:rPr>
          <w:color w:val="000000"/>
        </w:rPr>
        <w:t>,20</w:t>
      </w:r>
      <w:r>
        <w:rPr>
          <w:color w:val="000000"/>
          <w:shd w:fill="FFFFFF" w:val="clear"/>
        </w:rPr>
        <w:t xml:space="preserve">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73" w:type="dxa"/>
        <w:jc w:val="left"/>
        <w:tblInd w:w="-30" w:type="dxa"/>
        <w:tblCellMar>
          <w:top w:w="0" w:type="dxa"/>
          <w:left w:w="30" w:type="dxa"/>
          <w:bottom w:w="0" w:type="dxa"/>
          <w:right w:w="30" w:type="dxa"/>
        </w:tblCellMar>
        <w:tblLook w:firstRow="0" w:noVBand="0" w:lastRow="0" w:firstColumn="0" w:lastColumn="0" w:noHBand="0" w:val="0000"/>
      </w:tblPr>
      <w:tblGrid>
        <w:gridCol w:w="4821"/>
        <w:gridCol w:w="2667"/>
        <w:gridCol w:w="2885"/>
      </w:tblGrid>
      <w:tr>
        <w:trPr>
          <w:trHeight w:val="315" w:hRule="atLeast"/>
        </w:trPr>
        <w:tc>
          <w:tcPr>
            <w:tcW w:w="4821" w:type="dxa"/>
            <w:tcBorders/>
            <w:vAlign w:val="bottom"/>
          </w:tcPr>
          <w:p>
            <w:pPr>
              <w:pStyle w:val="Corpodeltesto21"/>
              <w:rPr/>
            </w:pPr>
            <w:r>
              <w:rPr/>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Imponibile IVA</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rFonts w:ascii="Verdana" w:hAnsi="Verdana"/>
                <w:sz w:val="20"/>
                <w:szCs w:val="20"/>
              </w:rPr>
            </w:pPr>
            <w:r>
              <w:rPr>
                <w:rFonts w:eastAsia="Times New Roman" w:ascii="Verdana" w:hAnsi="Verdana"/>
                <w:color w:val="000000"/>
                <w:sz w:val="20"/>
                <w:szCs w:val="20"/>
                <w:shd w:fill="FFFFFF" w:val="clear"/>
              </w:rPr>
              <w:t>34533,20 €</w:t>
            </w:r>
          </w:p>
        </w:tc>
      </w:tr>
      <w:tr>
        <w:trPr>
          <w:trHeight w:val="315" w:hRule="atLeast"/>
        </w:trPr>
        <w:tc>
          <w:tcPr>
            <w:tcW w:w="4821" w:type="dxa"/>
            <w:tcBorders/>
            <w:vAlign w:val="bottom"/>
          </w:tcPr>
          <w:p>
            <w:pPr>
              <w:pStyle w:val="Corpodeltesto21"/>
              <w:rPr/>
            </w:pPr>
            <w:r>
              <w:rPr/>
              <w:t>IVA</w:t>
            </w:r>
          </w:p>
        </w:tc>
        <w:tc>
          <w:tcPr>
            <w:tcW w:w="2667" w:type="dxa"/>
            <w:tcBorders/>
            <w:vAlign w:val="bottom"/>
          </w:tcPr>
          <w:p>
            <w:pPr>
              <w:pStyle w:val="Corpodeltesto21"/>
              <w:jc w:val="right"/>
              <w:rPr>
                <w:color w:val="000000"/>
                <w:spacing w:val="10"/>
                <w:kern w:val="2"/>
              </w:rPr>
            </w:pPr>
            <w:r>
              <w:rPr>
                <w:color w:val="000000"/>
                <w:spacing w:val="10"/>
                <w:kern w:val="2"/>
              </w:rPr>
            </w:r>
          </w:p>
        </w:tc>
        <w:tc>
          <w:tcPr>
            <w:tcW w:w="2885" w:type="dxa"/>
            <w:tcBorders/>
            <w:vAlign w:val="bottom"/>
          </w:tcPr>
          <w:p>
            <w:pPr>
              <w:pStyle w:val="Normal"/>
              <w:widowControl/>
              <w:jc w:val="right"/>
              <w:textAlignment w:val="auto"/>
              <w:rPr>
                <w:rFonts w:ascii="Calibri" w:hAnsi="Calibri" w:cs="Calibri"/>
                <w:color w:val="000000"/>
                <w:sz w:val="22"/>
                <w:szCs w:val="22"/>
              </w:rPr>
            </w:pPr>
            <w:r>
              <w:rPr>
                <w:rFonts w:cs="Calibri" w:ascii="Calibri" w:hAnsi="Calibri"/>
                <w:color w:val="000000"/>
                <w:sz w:val="22"/>
                <w:szCs w:val="22"/>
              </w:rPr>
              <w:t xml:space="preserve">                                   </w:t>
            </w:r>
            <w:r>
              <w:rPr>
                <w:rFonts w:cs="Calibri" w:ascii="Verdana" w:hAnsi="Verdana"/>
                <w:color w:val="000000"/>
                <w:sz w:val="20"/>
                <w:szCs w:val="20"/>
              </w:rPr>
              <w:t xml:space="preserve">3453,32 </w:t>
            </w:r>
            <w:r>
              <w:rPr>
                <w:rFonts w:eastAsia="Times New Roman" w:ascii="Verdana" w:hAnsi="Verdana"/>
                <w:color w:val="000000"/>
                <w:sz w:val="20"/>
                <w:szCs w:val="2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Totale</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Normal"/>
              <w:widowControl/>
              <w:jc w:val="right"/>
              <w:textAlignment w:val="auto"/>
              <w:rPr>
                <w:rFonts w:ascii="Verdana" w:hAnsi="Verdana"/>
                <w:sz w:val="20"/>
                <w:szCs w:val="20"/>
              </w:rPr>
            </w:pPr>
            <w:r>
              <w:rPr>
                <w:rFonts w:cs="Calibri" w:ascii="Verdana" w:hAnsi="Verdana"/>
                <w:color w:val="000000"/>
                <w:sz w:val="20"/>
                <w:szCs w:val="20"/>
              </w:rPr>
              <w:t xml:space="preserve">37986,52 </w:t>
            </w:r>
            <w:r>
              <w:rPr>
                <w:rFonts w:eastAsia="Times New Roman" w:ascii="Verdana" w:hAnsi="Verdana"/>
                <w:b/>
                <w:color w:val="000000"/>
                <w:sz w:val="20"/>
                <w:szCs w:val="20"/>
                <w:shd w:fill="FFFFFF" w:val="clear"/>
              </w:rPr>
              <w:t>€</w:t>
            </w:r>
          </w:p>
        </w:tc>
      </w:tr>
    </w:tbl>
    <w:p>
      <w:pPr>
        <w:pStyle w:val="Titolo1"/>
        <w:rPr/>
      </w:pPr>
      <w:r>
        <w:rPr/>
        <w:t>Articolo 4 – Pagamenti</w:t>
      </w:r>
    </w:p>
    <w:p>
      <w:pPr>
        <w:pStyle w:val="Corpodeltesto21"/>
        <w:rPr>
          <w:color w:val="000000"/>
          <w:highlight w:val="white"/>
        </w:rPr>
      </w:pPr>
      <w:r>
        <w:rPr>
          <w:color w:val="000000"/>
          <w:shd w:fill="FFFFFF" w:val="clea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color w:val="000000"/>
          <w:highlight w:val="white"/>
        </w:rPr>
      </w:pPr>
      <w:r>
        <w:rPr>
          <w:color w:val="000000"/>
          <w:shd w:fill="FFFFFF" w:val="clear"/>
        </w:rPr>
        <w:t>I pagamenti verranno corrisposti alla conclusione della prestazione affidata.</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fattura dovrà riportare il numero dell’atto di affidamento, il codice CIG e il codice CUP collegati al presente incarico.</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liquidazione delle fatture rimane 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r>
        <w:rPr/>
        <w:t>Il presente disciplinare 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r>
    </w:p>
    <w:p>
      <w:pPr>
        <w:pStyle w:val="Corpodeltesto21"/>
        <w:rPr/>
      </w:pPr>
      <w:r>
        <w:rPr/>
        <w:t>In esecuzione del</w:t>
      </w:r>
      <w:r>
        <w:rPr>
          <w:spacing w:val="-25"/>
        </w:rPr>
        <w:t xml:space="preserve"> </w:t>
      </w:r>
      <w:r>
        <w:rPr/>
        <w:t>presente</w:t>
      </w:r>
      <w:r>
        <w:rPr>
          <w:spacing w:val="-26"/>
        </w:rPr>
        <w:t xml:space="preserve"> </w:t>
      </w:r>
      <w:r>
        <w:rPr/>
        <w:t>contratto, l’operatore economico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r>
    </w:p>
    <w:p>
      <w:pPr>
        <w:pStyle w:val="Corpodeltesto21"/>
        <w:rPr/>
      </w:pPr>
      <w:r>
        <w:rPr/>
        <w:t>L’operatore economico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rPr/>
      </w:pPr>
      <w:r>
        <w:rPr/>
      </w:r>
    </w:p>
    <w:p>
      <w:pPr>
        <w:pStyle w:val="Corpodeltesto21"/>
        <w:numPr>
          <w:ilvl w:val="0"/>
          <w:numId w:val="2"/>
        </w:numPr>
        <w:ind w:left="0" w:hanging="0"/>
        <w:rPr/>
      </w:pPr>
      <w:r>
        <w:rPr/>
        <w:t>L’obbligo di cui al precedente comma sussiste, altresì, relativamente a tutto il materiale originario o predisposto in esecuzione del Contratto.</w:t>
      </w:r>
    </w:p>
    <w:p>
      <w:pPr>
        <w:pStyle w:val="Corpodeltesto21"/>
        <w:numPr>
          <w:ilvl w:val="0"/>
          <w:numId w:val="2"/>
        </w:numPr>
        <w:ind w:left="0" w:hanging="0"/>
        <w:rPr/>
      </w:pPr>
      <w:r>
        <w:rPr/>
      </w:r>
    </w:p>
    <w:p>
      <w:pPr>
        <w:pStyle w:val="Corpodeltesto21"/>
        <w:numPr>
          <w:ilvl w:val="0"/>
          <w:numId w:val="2"/>
        </w:numPr>
        <w:ind w:left="0" w:hanging="0"/>
        <w:rPr/>
      </w:pPr>
      <w:r>
        <w:rPr/>
        <w:t>L’obbligo di cui ai precedenti paragrafi non concerne i dati che siano o divengano di pubblico dominio.</w:t>
      </w:r>
    </w:p>
    <w:p>
      <w:pPr>
        <w:pStyle w:val="Corpodeltesto21"/>
        <w:rPr/>
      </w:pPr>
      <w:r>
        <w:rPr/>
      </w:r>
    </w:p>
    <w:p>
      <w:pPr>
        <w:pStyle w:val="Corpodeltesto21"/>
        <w:numPr>
          <w:ilvl w:val="0"/>
          <w:numId w:val="6"/>
        </w:numPr>
        <w:ind w:left="0" w:hanging="0"/>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6"/>
        </w:numPr>
        <w:ind w:left="0" w:hanging="0"/>
        <w:rPr/>
      </w:pPr>
      <w:r>
        <w:rPr/>
        <w:t>L’operatore economico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6"/>
        </w:numPr>
        <w:ind w:left="0" w:hanging="0"/>
        <w:rPr/>
      </w:pPr>
      <w:r>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rPr/>
      </w:pPr>
      <w:r>
        <w:rPr/>
      </w:r>
    </w:p>
    <w:p>
      <w:pPr>
        <w:pStyle w:val="Corpodeltesto21"/>
        <w:numPr>
          <w:ilvl w:val="0"/>
          <w:numId w:val="6"/>
        </w:numPr>
        <w:ind w:left="0" w:hanging="0"/>
        <w:rPr/>
      </w:pPr>
      <w:r>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pPr>
        <w:pStyle w:val="Corpodeltesto21"/>
        <w:numPr>
          <w:ilvl w:val="0"/>
          <w:numId w:val="6"/>
        </w:numPr>
        <w:ind w:left="0" w:hanging="0"/>
        <w:rPr/>
      </w:pPr>
      <w:r>
        <w:rPr/>
      </w:r>
    </w:p>
    <w:p>
      <w:pPr>
        <w:pStyle w:val="Corpodeltesto21"/>
        <w:numPr>
          <w:ilvl w:val="0"/>
          <w:numId w:val="6"/>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6"/>
        </w:numPr>
        <w:ind w:left="0" w:hanging="0"/>
        <w:rPr/>
      </w:pPr>
      <w:r>
        <w:rPr/>
        <w:t>L’operatore economico non potrà conservare copia di dati e programmi della Amministrazione, né alcuna documentazione inerente ad essi dopo la scadenza del Contratto e dovrà, su richiesta, ritrasmetterli all'Amministrazione.</w:t>
      </w:r>
    </w:p>
    <w:p>
      <w:pPr>
        <w:pStyle w:val="Corpodeltesto21"/>
        <w:numPr>
          <w:ilvl w:val="0"/>
          <w:numId w:val="1"/>
        </w:numPr>
        <w:ind w:left="0" w:hanging="0"/>
        <w:rPr/>
      </w:pPr>
      <w:r>
        <w:rPr/>
      </w:r>
    </w:p>
    <w:p>
      <w:pPr>
        <w:pStyle w:val="Corpodeltesto21"/>
        <w:rPr/>
      </w:pPr>
      <w:r>
        <w:rPr/>
      </w:r>
    </w:p>
    <w:p>
      <w:pPr>
        <w:pStyle w:val="Corpodeltesto21"/>
        <w:numPr>
          <w:ilvl w:val="0"/>
          <w:numId w:val="1"/>
        </w:numPr>
        <w:rPr/>
      </w:pPr>
      <w:r>
        <w:rPr/>
      </w:r>
    </w:p>
    <w:tbl>
      <w:tblPr>
        <w:tblW w:w="10268" w:type="dxa"/>
        <w:jc w:val="left"/>
        <w:tblInd w:w="146"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60" w:type="dxa"/>
            <w:tcBorders/>
          </w:tcPr>
          <w:p>
            <w:pPr>
              <w:pStyle w:val="Standard"/>
              <w:jc w:val="center"/>
              <w:rPr>
                <w:rFonts w:ascii="Verdana" w:hAnsi="Verdana" w:cs="Verdana"/>
              </w:rPr>
            </w:pPr>
            <w:r>
              <w:rPr>
                <w:rFonts w:cs="Verdana" w:ascii="Verdana" w:hAnsi="Verdana"/>
              </w:rPr>
              <w:t>L’Operatore Economico incaricato</w:t>
            </w:r>
          </w:p>
          <w:p>
            <w:pPr>
              <w:pStyle w:val="Corpodeltesto21"/>
              <w:jc w:val="center"/>
              <w:rPr/>
            </w:pPr>
            <w:r>
              <w:rPr>
                <w:rStyle w:val="Enfasiforte"/>
                <w:rFonts w:eastAsia="ArialMT;Arial" w:cs="Arial"/>
                <w:color w:val="000000"/>
                <w:kern w:val="2"/>
              </w:rPr>
              <w:t>Isolservice Fidenza S.R.L.</w:t>
            </w:r>
          </w:p>
        </w:tc>
      </w:tr>
    </w:tbl>
    <w:p>
      <w:pPr>
        <w:pStyle w:val="Titolo3"/>
        <w:ind w:left="567" w:hanging="0"/>
        <w:jc w:val="both"/>
        <w:rPr/>
      </w:pPr>
      <w:r>
        <w:rPr/>
      </w:r>
    </w:p>
    <w:sectPr>
      <w:type w:val="nextPage"/>
      <w:pgSz w:w="11906" w:h="16838"/>
      <w:pgMar w:left="426" w:right="875"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Verdana">
    <w:charset w:val="01"/>
    <w:family w:val="swiss"/>
    <w:pitch w:val="variable"/>
  </w:font>
  <w:font w:name="Calibri">
    <w:charset w:val="00"/>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0" w:hAnsi="0" w:cs="0" w:hint="default"/>
      </w:rPr>
    </w:lvl>
    <w:lvl w:ilvl="4">
      <w:start w:val="1"/>
      <w:numFmt w:val="bullet"/>
      <w:lvlText w:val=""/>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0" w:hAnsi="0" w:cs="0" w:hint="default"/>
      </w:rPr>
    </w:lvl>
    <w:lvl w:ilvl="7">
      <w:start w:val="1"/>
      <w:numFmt w:val="bullet"/>
      <w:lvlText w:val=""/>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2"/>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name w:val="Collegamento Internet"/>
    <w:basedOn w:val="DefaultParagraphFont"/>
    <w:uiPriority w:val="99"/>
    <w:unhideWhenUsed/>
    <w:rsid w:val="00692311"/>
    <w:rPr>
      <w:color w:val="0000FF"/>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arpredefinitoparagrafo5" w:customStyle="1">
    <w:name w:val="Car. predefinito paragrafo5"/>
    <w:qFormat/>
    <w:rPr/>
  </w:style>
  <w:style w:type="character" w:styleId="UnresolvedMention">
    <w:name w:val="Unresolved Mention"/>
    <w:basedOn w:val="DefaultParagraphFont"/>
    <w:uiPriority w:val="99"/>
    <w:semiHidden/>
    <w:unhideWhenUsed/>
    <w:qFormat/>
    <w:rsid w:val="00fa29ab"/>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Arial"/>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paragraph" w:styleId="Caption">
    <w:name w:val="caption"/>
    <w:basedOn w:val="Standard"/>
    <w:qFormat/>
    <w:pPr>
      <w:suppressLineNumbers/>
      <w:spacing w:before="120" w:after="120"/>
    </w:pPr>
    <w:rPr>
      <w:rFonts w:cs="Lucida Sans"/>
      <w:i/>
      <w:iCs/>
      <w:sz w:val="24"/>
      <w:szCs w:val="24"/>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0"/>
      <w:lang w:bidi="ar-SA" w:val="it-IT" w:eastAsia="zh-CN"/>
    </w:rPr>
  </w:style>
  <w:style w:type="paragraph" w:styleId="Textbody" w:customStyle="1">
    <w:name w:val="Text body"/>
    <w:basedOn w:val="Standard"/>
    <w:qFormat/>
    <w:pPr>
      <w:jc w:val="both"/>
    </w:pPr>
    <w:rPr>
      <w:sz w:val="24"/>
    </w:rPr>
  </w:style>
  <w:style w:type="paragraph" w:styleId="ListParagraph">
    <w:name w:val="List Paragraph"/>
    <w:basedOn w:val="Standard"/>
    <w:qFormat/>
    <w:pPr>
      <w:ind w:left="720" w:firstLine="709"/>
    </w:pPr>
    <w:rPr/>
  </w:style>
  <w:style w:type="paragraph" w:styleId="Titoloprincipale">
    <w:name w:val="Title"/>
    <w:basedOn w:val="Titolo11"/>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bidi="ar-SA" w:val="it-IT" w:eastAsia="zh-CN"/>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4"/>
      <w:szCs w:val="20"/>
      <w:lang w:bidi="ar-SA" w:val="it-IT" w:eastAsia="zh-CN"/>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isolservicefidenza.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LibreOffice/6.4.4.2$Windows_X86_64 LibreOffice_project/3d775be2011f3886db32dfd395a6a6d1ca2630ff</Application>
  <Pages>5</Pages>
  <Words>1546</Words>
  <Characters>9575</Characters>
  <CharactersWithSpaces>11116</CharactersWithSpaces>
  <Paragraphs>84</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2024-10-09T06:31:00Z</dcterms:created>
  <dc:creator>Provincia di Parma</dc:creator>
  <dc:description/>
  <dc:language>it-IT</dc:language>
  <cp:lastModifiedBy/>
  <cp:lastPrinted>2024-06-18T08:49:00Z</cp:lastPrinted>
  <dcterms:modified xsi:type="dcterms:W3CDTF">2024-10-14T11:03:19Z</dcterms:modified>
  <cp:revision>6</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