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64"/>
        <w:gridCol w:w="3244"/>
        <w:gridCol w:w="816"/>
        <w:gridCol w:w="2409"/>
        <w:gridCol w:w="3558"/>
        <w:gridCol w:w="421"/>
        <w:gridCol w:w="2721"/>
        <w:gridCol w:w="148"/>
        <w:gridCol w:w="74"/>
        <w:gridCol w:w="24"/>
        <w:gridCol w:w="195"/>
        <w:gridCol w:w="74"/>
        <w:gridCol w:w="193"/>
        <w:gridCol w:w="146"/>
      </w:tblGrid>
      <w:tr w:rsidR="00BC4BB9" w:rsidTr="00774F6B">
        <w:trPr>
          <w:trHeight w:val="31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restart"/>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CHECKLIST PER LA</w:t>
            </w:r>
          </w:p>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 VERIFICA DELLE REGOLARITÀ AMMINISTRATIVO-CONTABILE DELLE </w:t>
            </w:r>
          </w:p>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PROCEDURE DI APPALTO AI SENSI DEL D. lgs. n. 50/2016 e ss.mm.ii.</w:t>
            </w: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84"/>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56"/>
        </w:trPr>
        <w:tc>
          <w:tcPr>
            <w:tcW w:w="264" w:type="dxa"/>
            <w:shd w:val="clear" w:color="000000" w:fill="FFFFFF"/>
            <w:vAlign w:val="center"/>
          </w:tcPr>
          <w:p w:rsidR="00BC4BB9" w:rsidRDefault="00774F6B">
            <w:pPr>
              <w:spacing w:after="0" w:line="240" w:lineRule="auto"/>
              <w:rPr>
                <w:rFonts w:ascii="Garamond" w:eastAsia="Times New Roman" w:hAnsi="Garamond" w:cstheme="minorHAnsi"/>
                <w:b/>
                <w:bCs/>
                <w:color w:val="000000"/>
                <w:lang w:eastAsia="it-IT"/>
              </w:rPr>
            </w:pPr>
            <w:r>
              <w:rPr>
                <w:rFonts w:ascii="Garamond" w:eastAsia="Times New Roman" w:hAnsi="Garamond" w:cstheme="minorHAnsi"/>
                <w:b/>
                <w:bCs/>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060"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409"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558"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21"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721"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22"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BC4BB9" w:rsidTr="00774F6B">
        <w:trPr>
          <w:trHeight w:val="535"/>
        </w:trPr>
        <w:tc>
          <w:tcPr>
            <w:tcW w:w="264" w:type="dxa"/>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4060" w:type="dxa"/>
            <w:gridSpan w:val="2"/>
            <w:tcBorders>
              <w:bottom w:val="single" w:sz="2" w:space="0" w:color="000000"/>
            </w:tcBorders>
            <w:shd w:val="clear" w:color="auto" w:fill="auto"/>
            <w:vAlign w:val="center"/>
          </w:tcPr>
          <w:p w:rsidR="00BC4BB9" w:rsidRDefault="00BC4BB9">
            <w:pPr>
              <w:spacing w:after="0" w:line="240" w:lineRule="auto"/>
              <w:rPr>
                <w:rFonts w:ascii="Garamond" w:eastAsia="Times New Roman" w:hAnsi="Garamond" w:cstheme="minorHAnsi"/>
                <w:color w:val="000000"/>
                <w:lang w:eastAsia="it-IT"/>
              </w:rPr>
            </w:pPr>
          </w:p>
        </w:tc>
        <w:tc>
          <w:tcPr>
            <w:tcW w:w="2409" w:type="dxa"/>
            <w:tcBorders>
              <w:bottom w:val="single" w:sz="2" w:space="0" w:color="000000"/>
            </w:tcBorders>
            <w:shd w:val="clear" w:color="auto" w:fill="auto"/>
            <w:vAlign w:val="center"/>
          </w:tcPr>
          <w:p w:rsidR="00BC4BB9" w:rsidRDefault="00BC4BB9">
            <w:pPr>
              <w:spacing w:after="0" w:line="240" w:lineRule="auto"/>
              <w:rPr>
                <w:rFonts w:ascii="Garamond" w:eastAsia="Times New Roman" w:hAnsi="Garamond" w:cstheme="minorHAnsi"/>
                <w:lang w:eastAsia="it-IT"/>
              </w:rPr>
            </w:pPr>
          </w:p>
        </w:tc>
        <w:tc>
          <w:tcPr>
            <w:tcW w:w="3558"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421"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2721"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222" w:type="dxa"/>
            <w:gridSpan w:val="2"/>
            <w:tcBorders>
              <w:bottom w:val="single" w:sz="2" w:space="0" w:color="000000"/>
            </w:tcBorders>
            <w:shd w:val="clear" w:color="auto" w:fill="auto"/>
            <w:vAlign w:val="center"/>
          </w:tcPr>
          <w:p w:rsidR="00BC4BB9" w:rsidRDefault="00BC4BB9">
            <w:pPr>
              <w:spacing w:after="0" w:line="240" w:lineRule="auto"/>
              <w:jc w:val="center"/>
              <w:rPr>
                <w:rFonts w:ascii="Garamond" w:eastAsia="Times New Roman" w:hAnsi="Garamond" w:cstheme="minorHAnsi"/>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BC4BB9" w:rsidTr="00774F6B">
        <w:trPr>
          <w:trHeight w:val="535"/>
        </w:trPr>
        <w:tc>
          <w:tcPr>
            <w:tcW w:w="264" w:type="dxa"/>
            <w:tcBorders>
              <w:righ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15" w:type="dxa"/>
            <w:gridSpan w:val="9"/>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Anagrafica Intervento</w:t>
            </w:r>
          </w:p>
        </w:tc>
        <w:tc>
          <w:tcPr>
            <w:tcW w:w="195" w:type="dxa"/>
            <w:tcBorders>
              <w:lef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Missione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 Istruzione e ricerca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Componente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 – Potenziamento dell’offerta dei servizi di istruzione: dagli asili nido alle Università</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Misura/sub-misura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M4C1I3.3</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Riforma o investimento/ sub-investimento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3.3: Piano di messa in sicurezza e riqualificazione dell’edilizia scolastica</w:t>
            </w:r>
          </w:p>
        </w:tc>
        <w:tc>
          <w:tcPr>
            <w:tcW w:w="195" w:type="dxa"/>
            <w:tcBorders>
              <w:lef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D99F19000050003</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miglioramento sismico Liceo </w:t>
            </w:r>
            <w:proofErr w:type="spellStart"/>
            <w:r>
              <w:rPr>
                <w:rFonts w:ascii="Garamond" w:eastAsia="Times New Roman" w:hAnsi="Garamond" w:cstheme="minorHAnsi"/>
                <w:lang w:eastAsia="it-IT"/>
              </w:rPr>
              <w:t>Romagnosi</w:t>
            </w:r>
            <w:proofErr w:type="spellEnd"/>
            <w:r>
              <w:rPr>
                <w:rFonts w:ascii="Garamond" w:eastAsia="Times New Roman" w:hAnsi="Garamond" w:cstheme="minorHAnsi"/>
                <w:lang w:eastAsia="it-IT"/>
              </w:rPr>
              <w:t xml:space="preserve"> 1° stralcio</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Attuatore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Pr="00774F6B" w:rsidRDefault="002E0B38">
            <w:pPr>
              <w:spacing w:after="0" w:line="240" w:lineRule="auto"/>
            </w:pPr>
            <w:r w:rsidRPr="002E0B38">
              <w:rPr>
                <w:rFonts w:ascii="Garamond" w:eastAsia="Times New Roman" w:hAnsi="Garamond" w:cstheme="minorHAnsi"/>
                <w:bCs/>
                <w:lang w:eastAsia="it-IT"/>
              </w:rPr>
              <w:t>Provincia di Parma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Costo totale intervento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sidRPr="00FA1513">
              <w:rPr>
                <w:rFonts w:ascii="Garamond" w:hAnsi="Garamond" w:cs="Arial"/>
              </w:rPr>
              <w:t>527.503,35 €</w:t>
            </w:r>
            <w:r>
              <w:rPr>
                <w:rFonts w:ascii="Garamond" w:hAnsi="Garamond" w:cs="Arial"/>
              </w:rPr>
              <w:t xml:space="preserve"> (€ 479.548,50 fondi PNRR + </w:t>
            </w:r>
            <w:r w:rsidRPr="00077946">
              <w:rPr>
                <w:rFonts w:ascii="Garamond" w:hAnsi="Garamond" w:cs="Arial"/>
              </w:rPr>
              <w:t>€ 47.954,85 fondi comma 370 L. 29 dicembre 2022 n. 197)</w:t>
            </w:r>
            <w:r>
              <w:rPr>
                <w:rFonts w:ascii="Garamond" w:hAnsi="Garamond" w:cs="Arial"/>
              </w:rPr>
              <w:t xml:space="preserve"> di cui </w:t>
            </w:r>
            <w:r w:rsidRPr="005E40C7">
              <w:rPr>
                <w:rFonts w:ascii="Garamond" w:hAnsi="Garamond" w:cs="Arial"/>
              </w:rPr>
              <w:t xml:space="preserve">IVA </w:t>
            </w:r>
            <w:r w:rsidRPr="00077946">
              <w:rPr>
                <w:rFonts w:ascii="Garamond" w:hAnsi="Garamond" w:cs="Arial"/>
              </w:rPr>
              <w:t>€</w:t>
            </w:r>
            <w:r w:rsidRPr="00014962">
              <w:rPr>
                <w:rFonts w:ascii="Garamond" w:hAnsi="Garamond" w:cs="Arial"/>
              </w:rPr>
              <w:t xml:space="preserve"> 50.342,91</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di cui costo ammesso PNRR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€ 479.548,50 di cui IVA € 45.673,77</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Tipologia affidamento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2E0B38"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Symbol" w:eastAsia="Symbol" w:hAnsi="Symbol" w:cs="Symbol"/>
                <w:lang w:eastAsia="it-IT"/>
              </w:rPr>
              <w:t></w:t>
            </w:r>
            <w:r w:rsidR="00774F6B">
              <w:rPr>
                <w:rFonts w:ascii="Garamond" w:eastAsia="Times New Roman" w:hAnsi="Garamond" w:cstheme="minorHAnsi"/>
                <w:lang w:eastAsia="it-IT"/>
              </w:rPr>
              <w:t>Lavori</w:t>
            </w:r>
          </w:p>
          <w:p w:rsidR="00774F6B" w:rsidRDefault="002E0B38"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sidR="00774F6B">
              <w:rPr>
                <w:rFonts w:ascii="Garamond" w:eastAsia="Times New Roman" w:hAnsi="Garamond" w:cstheme="minorHAnsi"/>
                <w:lang w:eastAsia="it-IT"/>
              </w:rPr>
              <w:t xml:space="preserve"> Acquisto fornitura o servizi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Misti</w:t>
            </w:r>
          </w:p>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Affidamento diretto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negoziata senza previa pubblicazione di bando ex art. 63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aperta ex art. 60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ristretta ex art. 61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competitiva con negoziazione ex art. 62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Dialogo competitivo ex art. 64 d.lgs. n. 50/2016 (Procedura aperta, ristretta, etc.)</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PFTE ex art. 48 D.L. n. 77/2021</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progetto definitivo ex art. 1, comma 1, D.L. 32/2019 così come prorogato dall’art. 52 D.L. 77/2021 e ss.mm.ii.</w:t>
            </w:r>
          </w:p>
          <w:p w:rsidR="00774F6B" w:rsidRDefault="00774F6B" w:rsidP="00774F6B">
            <w:pPr>
              <w:spacing w:after="0" w:line="240" w:lineRule="auto"/>
            </w:pPr>
            <w:r>
              <w:rPr>
                <w:rFonts w:ascii="Symbol" w:eastAsia="Symbol" w:hAnsi="Symbol" w:cs="Symbol"/>
                <w:lang w:eastAsia="it-IT"/>
              </w:rPr>
              <w:t></w:t>
            </w:r>
            <w:r>
              <w:t xml:space="preserve"> </w:t>
            </w:r>
            <w:r>
              <w:rPr>
                <w:rFonts w:ascii="Garamond" w:eastAsia="Times New Roman" w:hAnsi="Garamond" w:cstheme="minorHAnsi"/>
                <w:lang w:eastAsia="it-IT"/>
              </w:rPr>
              <w:t>Altro (specificare)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C23C74" w:rsidRDefault="00B33824" w:rsidP="00774F6B">
            <w:pPr>
              <w:spacing w:after="0" w:line="240" w:lineRule="auto"/>
              <w:rPr>
                <w:rFonts w:ascii="Garamond" w:eastAsia="Times New Roman" w:hAnsi="Garamond" w:cstheme="minorHAnsi"/>
                <w:lang w:eastAsia="it-IT"/>
              </w:rPr>
            </w:pPr>
            <w:r w:rsidRPr="00B33824">
              <w:rPr>
                <w:rFonts w:ascii="Garamond" w:eastAsia="Times New Roman" w:hAnsi="Garamond" w:cstheme="minorHAnsi"/>
                <w:b/>
                <w:bCs/>
                <w:color w:val="3465A4"/>
                <w:lang w:eastAsia="it-IT"/>
              </w:rPr>
              <w:t>Da acquisire (procedura SATER)</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bando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C23C74" w:rsidRDefault="00446309" w:rsidP="00774F6B">
            <w:pPr>
              <w:spacing w:after="0" w:line="240" w:lineRule="auto"/>
              <w:rPr>
                <w:rFonts w:ascii="Garamond" w:eastAsia="Times New Roman" w:hAnsi="Garamond" w:cstheme="minorHAnsi"/>
                <w:lang w:eastAsia="it-IT"/>
              </w:rPr>
            </w:pPr>
            <w:r w:rsidRPr="00446309">
              <w:rPr>
                <w:rFonts w:ascii="Garamond" w:eastAsia="Times New Roman" w:hAnsi="Garamond" w:cstheme="minorHAnsi"/>
                <w:lang w:eastAsia="it-IT"/>
              </w:rPr>
              <w:t xml:space="preserve">PROGETTO DI "MIGLIORAMENTO SISMICO LICEO ROMAGNOSI 1° STRALCIO" CUP D99F19000050003 (FIN. UE - NEXT GENERATION EU (M4-C1-I.3.3)) – LAVORI LOTTO INTERVENTI 1 </w:t>
            </w:r>
            <w:r w:rsidR="00176836">
              <w:rPr>
                <w:rFonts w:ascii="Garamond" w:eastAsia="Times New Roman" w:hAnsi="Garamond" w:cstheme="minorHAnsi"/>
                <w:lang w:eastAsia="it-IT"/>
              </w:rPr>
              <w:t>–</w:t>
            </w:r>
            <w:r w:rsidRPr="00446309">
              <w:rPr>
                <w:rFonts w:ascii="Garamond" w:eastAsia="Times New Roman" w:hAnsi="Garamond" w:cstheme="minorHAnsi"/>
                <w:lang w:eastAsia="it-IT"/>
              </w:rPr>
              <w:t xml:space="preserve"> </w:t>
            </w:r>
            <w:r w:rsidR="00176836">
              <w:rPr>
                <w:rFonts w:ascii="Garamond" w:eastAsia="Times New Roman" w:hAnsi="Garamond" w:cstheme="minorHAnsi"/>
                <w:lang w:eastAsia="it-IT"/>
              </w:rPr>
              <w:t xml:space="preserve">Incarico </w:t>
            </w:r>
            <w:r w:rsidR="00B33824">
              <w:rPr>
                <w:rFonts w:ascii="Garamond" w:eastAsia="Times New Roman" w:hAnsi="Garamond" w:cstheme="minorHAnsi"/>
                <w:lang w:eastAsia="it-IT"/>
              </w:rPr>
              <w:t>Collaudo TECNICO AMMINISTRATIVO e collaudo STATICO FINALE e IN CORSO D’OPERA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Pr>
                <w:rFonts w:ascii="Garamond" w:eastAsia="Times New Roman" w:hAnsi="Garamond" w:cstheme="minorHAnsi"/>
                <w:lang w:eastAsia="it-IT"/>
              </w:rPr>
              <w:t xml:space="preserve">(Determina a contrarre, riferimento del contratto stipulato, data, RDO/ODA) - </w:t>
            </w:r>
            <w:r>
              <w:rPr>
                <w:rFonts w:ascii="Garamond" w:eastAsia="Times New Roman" w:hAnsi="Garamond" w:cstheme="minorHAnsi"/>
                <w:b/>
                <w:bCs/>
                <w:color w:val="3465A4"/>
                <w:lang w:eastAsia="it-IT"/>
              </w:rPr>
              <w:t>Atto di affidamento adottando</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431"/>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LICEO CLASSICO "G.D. ROMAGNOSI"</w:t>
            </w:r>
          </w:p>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Viale Maria Luigia n. 1 – Parma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8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affidamento </w:t>
            </w:r>
          </w:p>
        </w:tc>
        <w:tc>
          <w:tcPr>
            <w:tcW w:w="10171" w:type="dxa"/>
            <w:gridSpan w:val="8"/>
            <w:tcBorders>
              <w:top w:val="single" w:sz="2" w:space="0" w:color="000000"/>
              <w:left w:val="single" w:sz="2" w:space="0" w:color="000000"/>
              <w:bottom w:val="single" w:sz="4"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Pr>
                <w:rFonts w:ascii="Garamond" w:eastAsia="Times New Roman" w:hAnsi="Garamond" w:cstheme="minorHAnsi"/>
                <w:lang w:eastAsia="it-IT"/>
              </w:rPr>
              <w:t>Avvio: [</w:t>
            </w:r>
            <w:r w:rsidR="00B33824">
              <w:rPr>
                <w:rFonts w:ascii="Garamond" w:eastAsia="Times New Roman" w:hAnsi="Garamond" w:cstheme="minorHAnsi"/>
                <w:lang w:eastAsia="it-IT"/>
              </w:rPr>
              <w:t>25</w:t>
            </w:r>
            <w:r>
              <w:rPr>
                <w:rFonts w:ascii="Garamond" w:eastAsia="Times New Roman" w:hAnsi="Garamond" w:cstheme="minorHAnsi"/>
                <w:lang w:eastAsia="it-IT"/>
              </w:rPr>
              <w:t>/0</w:t>
            </w:r>
            <w:r w:rsidR="00B33824">
              <w:rPr>
                <w:rFonts w:ascii="Garamond" w:eastAsia="Times New Roman" w:hAnsi="Garamond" w:cstheme="minorHAnsi"/>
                <w:lang w:eastAsia="it-IT"/>
              </w:rPr>
              <w:t>6</w:t>
            </w:r>
            <w:r>
              <w:rPr>
                <w:rFonts w:ascii="Garamond" w:eastAsia="Times New Roman" w:hAnsi="Garamond" w:cstheme="minorHAnsi"/>
                <w:lang w:eastAsia="it-IT"/>
              </w:rPr>
              <w:t>/202</w:t>
            </w:r>
            <w:r w:rsidR="006A3F86">
              <w:rPr>
                <w:rFonts w:ascii="Garamond" w:eastAsia="Times New Roman" w:hAnsi="Garamond" w:cstheme="minorHAnsi"/>
                <w:lang w:eastAsia="it-IT"/>
              </w:rPr>
              <w:t>4</w:t>
            </w:r>
            <w:r>
              <w:rPr>
                <w:rFonts w:ascii="Garamond" w:eastAsia="Times New Roman" w:hAnsi="Garamond" w:cstheme="minorHAnsi"/>
                <w:lang w:eastAsia="it-IT"/>
              </w:rPr>
              <w:t xml:space="preserve"> (avvio Trattativa diretta su </w:t>
            </w:r>
            <w:r w:rsidR="00B33824">
              <w:rPr>
                <w:rFonts w:ascii="Garamond" w:eastAsia="Times New Roman" w:hAnsi="Garamond" w:cstheme="minorHAnsi"/>
                <w:lang w:eastAsia="it-IT"/>
              </w:rPr>
              <w:t>SATER</w:t>
            </w:r>
            <w:r>
              <w:rPr>
                <w:rFonts w:ascii="Garamond" w:eastAsia="Times New Roman" w:hAnsi="Garamond" w:cstheme="minorHAnsi"/>
                <w:lang w:eastAsia="it-IT"/>
              </w:rPr>
              <w:t>)]</w:t>
            </w:r>
          </w:p>
          <w:p w:rsidR="00774F6B" w:rsidRDefault="00774F6B" w:rsidP="00774F6B">
            <w:pPr>
              <w:spacing w:after="0" w:line="240" w:lineRule="auto"/>
            </w:pPr>
            <w:r>
              <w:rPr>
                <w:rFonts w:ascii="Garamond" w:eastAsia="Times New Roman" w:hAnsi="Garamond" w:cstheme="minorHAnsi"/>
                <w:lang w:eastAsia="it-IT"/>
              </w:rPr>
              <w:t>Conclusione: [</w:t>
            </w:r>
            <w:r>
              <w:rPr>
                <w:rFonts w:ascii="Garamond" w:eastAsia="Times New Roman" w:hAnsi="Garamond" w:cstheme="minorHAnsi"/>
                <w:b/>
                <w:bCs/>
                <w:color w:val="3465A4"/>
                <w:lang w:eastAsia="it-IT"/>
              </w:rPr>
              <w:t>data atto di affidamento adottando</w:t>
            </w:r>
            <w:r>
              <w:rPr>
                <w:rFonts w:ascii="Garamond" w:eastAsia="Times New Roman" w:hAnsi="Garamond" w:cstheme="minorHAnsi"/>
                <w:lang w:eastAsia="it-IT"/>
              </w:rPr>
              <w:t>]</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della procedura </w:t>
            </w:r>
          </w:p>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B33824" w:rsidP="00774F6B">
            <w:pPr>
              <w:spacing w:after="0" w:line="240" w:lineRule="auto"/>
            </w:pPr>
            <w:r>
              <w:rPr>
                <w:rFonts w:ascii="Garamond" w:eastAsia="Times New Roman" w:hAnsi="Garamond" w:cstheme="minorHAnsi"/>
                <w:lang w:eastAsia="it-IT"/>
              </w:rPr>
              <w:t>€ 7.866,95, soggetto a ribasso, oltre a cassa previdenziale e I.V.A. di legge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Rilevanza comunitaria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Pr>
                <w:rFonts w:ascii="Garamond" w:eastAsia="Times New Roman" w:hAnsi="Garamond" w:cstheme="minorHAnsi"/>
                <w:lang w:eastAsia="it-IT"/>
              </w:rPr>
              <w:t xml:space="preserve"> Sotto soglia comunitaria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Sulla base dell’elemento prezzo o del costo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miglior rapporto qualità/prezzo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prezzo o costo fisso in base a criteri qualitativi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Altro (specificare)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176836" w:rsidP="00774F6B">
            <w:pPr>
              <w:spacing w:after="0" w:line="240" w:lineRule="auto"/>
            </w:pPr>
            <w:r>
              <w:rPr>
                <w:rFonts w:ascii="Garamond" w:eastAsia="Times New Roman" w:hAnsi="Garamond" w:cstheme="minorHAnsi"/>
                <w:lang w:eastAsia="it-IT"/>
              </w:rPr>
              <w:t>Ing. Sebastiano Conti con studio in Via A. Calzolari 61 - 43126 Parma (PR) - C.F. CNTSST72S14I153M - Partita I.V.A. 02713000343</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b/>
                <w:bCs/>
              </w:rPr>
            </w:pPr>
            <w:r>
              <w:rPr>
                <w:rFonts w:ascii="Garamond" w:eastAsia="Times New Roman" w:hAnsi="Garamond" w:cstheme="minorHAnsi"/>
                <w:b/>
                <w:bCs/>
                <w:color w:val="3465A4"/>
                <w:lang w:eastAsia="it-IT"/>
              </w:rPr>
              <w:t>Stipulato a seguito di avvenuta esecutività dell’atto adottando</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C23C74" w:rsidRDefault="00B33824"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€ 7.500,00, oltre a cassa previdenziale corrispondente a € 300,00, </w:t>
            </w:r>
            <w:r w:rsidR="0007201B">
              <w:rPr>
                <w:rFonts w:ascii="Garamond" w:eastAsia="Times New Roman" w:hAnsi="Garamond" w:cstheme="minorHAnsi"/>
                <w:lang w:eastAsia="it-IT"/>
              </w:rPr>
              <w:t>oltre</w:t>
            </w:r>
            <w:r>
              <w:rPr>
                <w:rFonts w:ascii="Garamond" w:eastAsia="Times New Roman" w:hAnsi="Garamond" w:cstheme="minorHAnsi"/>
                <w:lang w:eastAsia="it-IT"/>
              </w:rPr>
              <w:t xml:space="preserve"> I.V.A. di legge</w:t>
            </w:r>
            <w:r w:rsidR="0007201B">
              <w:rPr>
                <w:rFonts w:ascii="Garamond" w:eastAsia="Times New Roman" w:hAnsi="Garamond" w:cstheme="minorHAnsi"/>
                <w:lang w:eastAsia="it-IT"/>
              </w:rPr>
              <w:t xml:space="preserve"> </w:t>
            </w:r>
            <w:r w:rsidR="0007201B">
              <w:rPr>
                <w:rFonts w:ascii="Garamond" w:eastAsia="Times New Roman" w:hAnsi="Garamond" w:cstheme="minorHAnsi"/>
                <w:lang w:eastAsia="it-IT"/>
              </w:rPr>
              <w:t xml:space="preserve">corrispondente </w:t>
            </w:r>
            <w:r w:rsidR="0007201B">
              <w:rPr>
                <w:rFonts w:ascii="Garamond" w:eastAsia="Times New Roman" w:hAnsi="Garamond" w:cstheme="minorHAnsi"/>
                <w:lang w:eastAsia="it-IT"/>
              </w:rPr>
              <w:t xml:space="preserve">a </w:t>
            </w:r>
            <w:r w:rsidR="0007201B">
              <w:rPr>
                <w:rFonts w:ascii="Garamond" w:eastAsia="Times New Roman" w:hAnsi="Garamond" w:cstheme="minorHAnsi"/>
                <w:lang w:eastAsia="it-IT"/>
              </w:rPr>
              <w:t>€ 1.716,00</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C23C74" w:rsidRDefault="00B33824"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€ 300,00</w:t>
            </w:r>
            <w:r w:rsidR="0007201B">
              <w:rPr>
                <w:rFonts w:ascii="Garamond" w:eastAsia="Times New Roman" w:hAnsi="Garamond" w:cstheme="minorHAnsi"/>
                <w:lang w:eastAsia="it-IT"/>
              </w:rPr>
              <w:t xml:space="preserve"> cassa previdenziale</w:t>
            </w:r>
            <w:r>
              <w:rPr>
                <w:rFonts w:ascii="Garamond" w:eastAsia="Times New Roman" w:hAnsi="Garamond" w:cstheme="minorHAnsi"/>
                <w:lang w:eastAsia="it-IT"/>
              </w:rPr>
              <w:t xml:space="preserve">, </w:t>
            </w:r>
            <w:r w:rsidR="0007201B">
              <w:rPr>
                <w:rFonts w:ascii="Garamond" w:eastAsia="Times New Roman" w:hAnsi="Garamond" w:cstheme="minorHAnsi"/>
                <w:lang w:eastAsia="it-IT"/>
              </w:rPr>
              <w:t>€ 1.716,00</w:t>
            </w:r>
            <w:r>
              <w:rPr>
                <w:rFonts w:ascii="Garamond" w:eastAsia="Times New Roman" w:hAnsi="Garamond" w:cstheme="minorHAnsi"/>
                <w:lang w:eastAsia="it-IT"/>
              </w:rPr>
              <w:t xml:space="preserve"> I.V.A. di legge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Pr="00C23C74" w:rsidRDefault="00774F6B" w:rsidP="00774F6B">
            <w:pPr>
              <w:spacing w:after="0" w:line="240" w:lineRule="auto"/>
              <w:jc w:val="right"/>
              <w:rPr>
                <w:rFonts w:ascii="Garamond" w:eastAsia="Times New Roman" w:hAnsi="Garamond" w:cstheme="minorHAnsi"/>
                <w:b/>
                <w:bCs/>
                <w:color w:val="FFFFFF"/>
                <w:lang w:eastAsia="it-IT"/>
              </w:rPr>
            </w:pPr>
            <w:r w:rsidRPr="00C23C74">
              <w:rPr>
                <w:rFonts w:ascii="Garamond" w:eastAsia="Times New Roman" w:hAnsi="Garamond" w:cstheme="minorHAnsi"/>
                <w:b/>
                <w:bCs/>
                <w:color w:val="FFFFFF"/>
                <w:lang w:eastAsia="it-IT"/>
              </w:rPr>
              <w:t xml:space="preserve">Importo totale del contratto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C23C74" w:rsidRDefault="00B33824" w:rsidP="00774F6B">
            <w:pPr>
              <w:spacing w:after="0" w:line="240" w:lineRule="auto"/>
              <w:rPr>
                <w:rFonts w:cstheme="minorHAnsi"/>
              </w:rPr>
            </w:pPr>
            <w:r w:rsidRPr="0007201B">
              <w:rPr>
                <w:rFonts w:ascii="Garamond" w:eastAsia="Times New Roman" w:hAnsi="Garamond" w:cstheme="minorHAnsi"/>
                <w:lang w:eastAsia="it-IT"/>
              </w:rPr>
              <w:t xml:space="preserve">€ </w:t>
            </w:r>
            <w:r w:rsidR="0007201B" w:rsidRPr="0007201B">
              <w:rPr>
                <w:rFonts w:ascii="Garamond" w:eastAsia="Times New Roman" w:hAnsi="Garamond" w:cstheme="minorHAnsi"/>
                <w:lang w:eastAsia="it-IT"/>
              </w:rPr>
              <w:t>9.516</w:t>
            </w:r>
            <w:r w:rsidRPr="0007201B">
              <w:rPr>
                <w:rFonts w:ascii="Garamond" w:eastAsia="Times New Roman" w:hAnsi="Garamond" w:cstheme="minorHAnsi"/>
                <w:lang w:eastAsia="it-IT"/>
              </w:rPr>
              <w:t>,00</w:t>
            </w:r>
            <w:r w:rsidR="00C23C74" w:rsidRPr="0007201B">
              <w:rPr>
                <w:rFonts w:ascii="Garamond" w:eastAsia="Times New Roman" w:hAnsi="Garamond" w:cstheme="minorHAnsi"/>
                <w:lang w:eastAsia="it-IT"/>
              </w:rPr>
              <w:t xml:space="preserve"> </w:t>
            </w:r>
            <w:r w:rsidR="00B75418" w:rsidRPr="0007201B">
              <w:rPr>
                <w:rFonts w:ascii="Garamond" w:eastAsia="Times New Roman" w:hAnsi="Garamond" w:cstheme="minorHAnsi"/>
                <w:lang w:eastAsia="it-IT"/>
              </w:rPr>
              <w:t xml:space="preserve">(I.V.A. di legge </w:t>
            </w:r>
            <w:r w:rsidR="00C23C74" w:rsidRPr="0007201B">
              <w:rPr>
                <w:rFonts w:ascii="Garamond" w:eastAsia="Times New Roman" w:hAnsi="Garamond" w:cstheme="minorHAnsi"/>
                <w:lang w:eastAsia="it-IT"/>
              </w:rPr>
              <w:t>22</w:t>
            </w:r>
            <w:r w:rsidR="00B75418" w:rsidRPr="0007201B">
              <w:rPr>
                <w:rFonts w:ascii="Garamond" w:eastAsia="Times New Roman" w:hAnsi="Garamond" w:cstheme="minorHAnsi"/>
                <w:lang w:eastAsia="it-IT"/>
              </w:rPr>
              <w:t xml:space="preserve"> % compresa)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Pr="00C23C74" w:rsidRDefault="00774F6B" w:rsidP="00774F6B">
            <w:pPr>
              <w:spacing w:after="0" w:line="240" w:lineRule="auto"/>
              <w:jc w:val="right"/>
              <w:rPr>
                <w:rFonts w:ascii="Garamond" w:eastAsia="Times New Roman" w:hAnsi="Garamond" w:cstheme="minorHAnsi"/>
                <w:b/>
                <w:bCs/>
                <w:color w:val="FFFFFF"/>
                <w:lang w:eastAsia="it-IT"/>
              </w:rPr>
            </w:pPr>
            <w:r w:rsidRPr="00C23C74">
              <w:rPr>
                <w:rFonts w:ascii="Garamond" w:eastAsia="Times New Roman" w:hAnsi="Garamond" w:cstheme="minorHAnsi"/>
                <w:b/>
                <w:bCs/>
                <w:color w:val="FFFFFF"/>
                <w:lang w:eastAsia="it-IT"/>
              </w:rPr>
              <w:t>Ribasso offerto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C23C74" w:rsidRDefault="00B33824" w:rsidP="00774F6B">
            <w:pPr>
              <w:spacing w:after="0" w:line="240" w:lineRule="auto"/>
              <w:rPr>
                <w:rFonts w:ascii="Garamond" w:eastAsia="Times New Roman" w:hAnsi="Garamond" w:cstheme="minorHAnsi"/>
                <w:lang w:eastAsia="it-IT"/>
              </w:rPr>
            </w:pPr>
            <w:r>
              <w:rPr>
                <w:rFonts w:ascii="Garamond" w:eastAsia="Times New Roman" w:hAnsi="Garamond" w:cstheme="minorHAnsi"/>
                <w:color w:val="000000"/>
                <w:lang w:eastAsia="it-IT"/>
              </w:rPr>
              <w:t>4,66</w:t>
            </w:r>
            <w:r w:rsidR="00B75418" w:rsidRPr="00C23C74">
              <w:rPr>
                <w:rFonts w:ascii="Garamond" w:eastAsia="Times New Roman" w:hAnsi="Garamond" w:cstheme="minorHAnsi"/>
                <w:color w:val="000000"/>
                <w:lang w:eastAsia="it-IT"/>
              </w:rPr>
              <w:t xml:space="preserve"> </w:t>
            </w:r>
            <w:r w:rsidR="00774F6B" w:rsidRPr="00C23C74">
              <w:rPr>
                <w:rFonts w:ascii="Garamond" w:eastAsia="Times New Roman" w:hAnsi="Garamond" w:cstheme="minorHAnsi"/>
                <w:color w:val="000000"/>
                <w:lang w:eastAsia="it-IT"/>
              </w:rPr>
              <w:t>%</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Luogo di conservazione della documentazione</w:t>
            </w:r>
          </w:p>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color w:val="FFFFFF"/>
                <w:sz w:val="18"/>
                <w:szCs w:val="18"/>
                <w:lang w:eastAsia="it-IT"/>
              </w:rPr>
              <w:t>(</w:t>
            </w:r>
            <w:r>
              <w:rPr>
                <w:rFonts w:ascii="Garamond" w:eastAsia="Times New Roman" w:hAnsi="Garamond" w:cstheme="minorHAnsi"/>
                <w:color w:val="FFFFFF" w:themeColor="background1"/>
                <w:sz w:val="18"/>
                <w:szCs w:val="18"/>
                <w:lang w:eastAsia="it-IT"/>
              </w:rPr>
              <w:t>Ente/Ufficio/Stanza o Server/archivio informatico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Parma/U.O. Edilizia Scolastica + Server/archivio informatico Provincia di Parma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bl>
    <w:p w:rsidR="00BC4BB9" w:rsidRDefault="00BC4BB9">
      <w:pPr>
        <w:rPr>
          <w:rFonts w:ascii="Garamond" w:hAnsi="Garamond"/>
        </w:rPr>
      </w:pPr>
    </w:p>
    <w:tbl>
      <w:tblPr>
        <w:tblW w:w="5000" w:type="pct"/>
        <w:tblCellMar>
          <w:left w:w="70" w:type="dxa"/>
          <w:right w:w="70" w:type="dxa"/>
        </w:tblCellMar>
        <w:tblLook w:val="04A0" w:firstRow="1" w:lastRow="0" w:firstColumn="1" w:lastColumn="0" w:noHBand="0" w:noVBand="1"/>
      </w:tblPr>
      <w:tblGrid>
        <w:gridCol w:w="613"/>
        <w:gridCol w:w="4303"/>
        <w:gridCol w:w="526"/>
        <w:gridCol w:w="649"/>
        <w:gridCol w:w="759"/>
        <w:gridCol w:w="2170"/>
        <w:gridCol w:w="2636"/>
        <w:gridCol w:w="2621"/>
      </w:tblGrid>
      <w:tr w:rsidR="00774F6B" w:rsidTr="00B75418">
        <w:trPr>
          <w:trHeight w:val="1500"/>
          <w:tblHeader/>
        </w:trPr>
        <w:tc>
          <w:tcPr>
            <w:tcW w:w="4916" w:type="dxa"/>
            <w:gridSpan w:val="2"/>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Verifica affidamento/esecuzione appalto</w:t>
            </w:r>
          </w:p>
        </w:tc>
        <w:tc>
          <w:tcPr>
            <w:tcW w:w="526"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SI</w:t>
            </w:r>
          </w:p>
        </w:tc>
        <w:tc>
          <w:tcPr>
            <w:tcW w:w="64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w:t>
            </w:r>
          </w:p>
        </w:tc>
        <w:tc>
          <w:tcPr>
            <w:tcW w:w="75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N.A.</w:t>
            </w:r>
          </w:p>
        </w:tc>
        <w:tc>
          <w:tcPr>
            <w:tcW w:w="2170"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2636"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Note</w:t>
            </w:r>
          </w:p>
        </w:tc>
        <w:tc>
          <w:tcPr>
            <w:tcW w:w="2621"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BC4BB9" w:rsidRDefault="00774F6B">
            <w:pPr>
              <w:spacing w:after="0" w:line="240" w:lineRule="auto"/>
              <w:jc w:val="center"/>
              <w:rPr>
                <w:rFonts w:ascii="Garamond" w:eastAsia="Times New Roman" w:hAnsi="Garamond" w:cstheme="minorHAnsi"/>
                <w:b/>
                <w:bCs/>
                <w:lang w:eastAsia="it-IT"/>
              </w:rPr>
            </w:pPr>
            <w:r>
              <w:rPr>
                <w:rFonts w:ascii="Garamond" w:eastAsia="Times New Roman" w:hAnsi="Garamond" w:cstheme="minorHAnsi"/>
                <w:b/>
                <w:bCs/>
                <w:lang w:eastAsia="it-IT"/>
              </w:rPr>
              <w:t>Oggetto del controllo</w:t>
            </w:r>
          </w:p>
        </w:tc>
      </w:tr>
      <w:tr w:rsidR="00BC4BB9"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 xml:space="preserve">Parte generale </w:t>
            </w:r>
          </w:p>
        </w:tc>
      </w:tr>
      <w:tr w:rsidR="00774F6B"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 e/o comunque trasmesse all’Amministrazione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BC4BB9">
            <w:pPr>
              <w:spacing w:after="0" w:line="240" w:lineRule="auto"/>
              <w:rPr>
                <w:rFonts w:ascii="Garamond" w:eastAsia="Times New Roman" w:hAnsi="Garamond" w:cs="Times New Roman"/>
                <w:color w:val="000000"/>
                <w:sz w:val="20"/>
                <w:lang w:eastAsia="it-IT"/>
              </w:rPr>
            </w:pP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•DSAN </w:t>
            </w:r>
          </w:p>
        </w:tc>
      </w:tr>
      <w:tr w:rsidR="00774F6B" w:rsidTr="00B75418">
        <w:trPr>
          <w:trHeight w:val="135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fornita documentazione utile all’individuazione del titolare effettivo del soggetto realizzatore?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 e/o comunque trasmesse all’Amministrazione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•DSAN </w:t>
            </w:r>
          </w:p>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•Visura camerale</w:t>
            </w:r>
          </w:p>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6A3F86"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86" w:rsidRDefault="006A3F86" w:rsidP="006A3F8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86" w:rsidRDefault="006A3F86" w:rsidP="006A3F8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86" w:rsidRDefault="006A3F86" w:rsidP="006A3F8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86" w:rsidRDefault="006A3F86" w:rsidP="006A3F8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86" w:rsidRDefault="006A3F86" w:rsidP="006A3F8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86" w:rsidRDefault="006A3F86" w:rsidP="006A3F8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Elaborati analitici e grafici relativi alle fasi progettuali già approvate;</w:t>
            </w:r>
          </w:p>
          <w:p w:rsidR="006A3F86" w:rsidRDefault="006A3F86" w:rsidP="006A3F8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86" w:rsidRDefault="006A3F86" w:rsidP="006A3F8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6A3F86" w:rsidRDefault="006A3F86" w:rsidP="006A3F86">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6A3F86" w:rsidRDefault="006A3F86" w:rsidP="006A3F86">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p w:rsidR="006A3F86" w:rsidRDefault="006A3F86" w:rsidP="006A3F86">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•Contratto di appalto</w:t>
            </w:r>
          </w:p>
        </w:tc>
      </w:tr>
      <w:tr w:rsidR="00774F6B" w:rsidTr="00B75418">
        <w:trPr>
          <w:trHeight w:val="66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Documentazione relativa alla procedura di affidamento espletata su piattaforma digitale </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highlight w:val="yellow"/>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•Atto di riconducibilità per i progetti in essere </w:t>
            </w:r>
          </w:p>
          <w:p w:rsidR="00BC4BB9" w:rsidRDefault="00774F6B">
            <w:pPr>
              <w:spacing w:after="0" w:line="240" w:lineRule="auto"/>
              <w:rPr>
                <w:rFonts w:ascii="Garamond" w:eastAsia="Times New Roman" w:hAnsi="Garamond" w:cs="Times New Roman"/>
                <w:color w:val="000000"/>
                <w:sz w:val="20"/>
                <w:szCs w:val="20"/>
                <w:highlight w:val="yellow"/>
                <w:lang w:eastAsia="it-IT"/>
              </w:rPr>
            </w:pPr>
            <w:r>
              <w:rPr>
                <w:rFonts w:ascii="Garamond" w:eastAsia="Times New Roman" w:hAnsi="Garamond" w:cs="Times New Roman"/>
                <w:color w:val="000000"/>
                <w:sz w:val="20"/>
                <w:szCs w:val="20"/>
                <w:lang w:eastAsia="it-IT"/>
              </w:rPr>
              <w:t>•Contratto di appalto</w:t>
            </w:r>
          </w:p>
        </w:tc>
      </w:tr>
      <w:tr w:rsidR="00774F6B" w:rsidTr="00B75418">
        <w:trPr>
          <w:trHeight w:val="173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principio della parità di genere (Gender </w:t>
            </w:r>
            <w:proofErr w:type="spellStart"/>
            <w:r>
              <w:rPr>
                <w:rFonts w:ascii="Garamond" w:eastAsia="Times New Roman" w:hAnsi="Garamond" w:cs="Times New Roman"/>
                <w:color w:val="000000"/>
                <w:lang w:eastAsia="it-IT"/>
              </w:rPr>
              <w:t>Equality</w:t>
            </w:r>
            <w:proofErr w:type="spellEnd"/>
            <w:r>
              <w:rPr>
                <w:rFonts w:ascii="Garamond" w:eastAsia="Times New Roman" w:hAnsi="Garamond" w:cs="Times New Roman"/>
                <w:color w:val="000000"/>
                <w:lang w:eastAsia="it-IT"/>
              </w:rPr>
              <w:t>);</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il principio di superamento dei divari territoriali.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tc>
      </w:tr>
      <w:tr w:rsidR="00774F6B" w:rsidTr="00B75418">
        <w:trPr>
          <w:trHeight w:val="186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capitolato/avviso/ecc.) riporta il riferimento al finanziamento da parte dell’Unione europea e all’iniziativa </w:t>
            </w:r>
            <w:r>
              <w:rPr>
                <w:rFonts w:ascii="Garamond" w:eastAsia="Times New Roman" w:hAnsi="Garamond" w:cs="Times New Roman"/>
                <w:i/>
                <w:iCs/>
                <w:color w:val="000000"/>
                <w:lang w:eastAsia="it-IT"/>
              </w:rPr>
              <w:t>Next Generation EU</w:t>
            </w:r>
            <w:r>
              <w:rPr>
                <w:rFonts w:ascii="Garamond" w:eastAsia="Times New Roman" w:hAnsi="Garamond" w:cs="Times New Roman"/>
                <w:color w:val="000000"/>
                <w:lang w:eastAsia="it-IT"/>
              </w:rPr>
              <w:t xml:space="preserve"> (relativa missione e componente) e l’emblema dell’UE?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highlight w:val="yellow"/>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BC4BB9"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 principio di non arrecare danno significativo all’ambiente (DNSH)</w:t>
            </w:r>
          </w:p>
        </w:tc>
      </w:tr>
      <w:tr w:rsidR="00A742FA"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Per l’esecuzione di lavori/servizi/forniture è stato applicato il Regime (1 o 2) previsto per la specifica Misura?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 </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•Progetto/Scheda progettuale</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DNSH</w:t>
            </w:r>
          </w:p>
        </w:tc>
      </w:tr>
      <w:tr w:rsidR="00A742FA"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realizzatore), al fine di garantire il rispetto del principio del DNSH derivante da quanto indicato </w:t>
            </w:r>
            <w:r>
              <w:rPr>
                <w:rFonts w:ascii="Garamond" w:eastAsia="Times New Roman" w:hAnsi="Garamond" w:cs="Times New Roman"/>
                <w:color w:val="000000"/>
                <w:lang w:eastAsia="it-IT"/>
              </w:rPr>
              <w:lastRenderedPageBreak/>
              <w:t xml:space="preserve">negli Atti programmatici della Misura di riferimento?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Allineamento della prestazione agli obiettivi del progetto</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CL di autocontrollo procedura di selezione dei fornitori</w:t>
            </w:r>
          </w:p>
        </w:tc>
      </w:tr>
      <w:tr w:rsidR="00A742FA"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A742FA"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Dichiarazione DNSH</w:t>
            </w:r>
          </w:p>
        </w:tc>
      </w:tr>
      <w:tr w:rsidR="00A742FA"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correttamente compilate le check list volte a dimostrare il rispetto del principio di non arrecare danno significativo all’ambiente (DNSH) così come indicato nelle apposite linee guida?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A742FA"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correttamente conservato in formato cartaceo e/o elettronico, tutti i documenti necessari per la compilazione delle check list per le verifiche e i controlli per garantire il principio DNSH (cfr. Linee Guida DNSH)?</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75418" w:rsidRDefault="00B75418" w:rsidP="00B75418">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lang w:eastAsia="it-IT"/>
              </w:rPr>
              <w:t xml:space="preserve">Determina a contrarre e documenti di gara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lastRenderedPageBreak/>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stati rispettati </w:t>
            </w:r>
            <w:r>
              <w:rPr>
                <w:rFonts w:ascii="Garamond" w:eastAsia="Times New Roman" w:hAnsi="Garamond" w:cs="Times New Roman"/>
                <w:bCs/>
                <w:color w:val="000000"/>
                <w:lang w:eastAsia="it-IT"/>
              </w:rPr>
              <w:t>gli</w:t>
            </w:r>
            <w:r>
              <w:rPr>
                <w:rFonts w:ascii="Garamond" w:eastAsia="Times New Roman" w:hAnsi="Garamond" w:cs="Times New Roman"/>
                <w:color w:val="000000"/>
                <w:lang w:eastAsia="it-IT"/>
              </w:rPr>
              <w:t xml:space="preserve"> adempimenti relativi alla Pianificazione e Programmazione dei lavori/acquisti e i relativi obblighi di pubblicità?</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Strumenti di programmazione dell’Ente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Per l’effettuazione della specifica verifica si rimanda agli artt. 21 e 29 d.lgs. n. 50/2016. </w:t>
            </w:r>
          </w:p>
          <w:p w:rsidR="00B75418" w:rsidRDefault="00B75418" w:rsidP="00B75418">
            <w:pPr>
              <w:spacing w:after="0" w:line="240" w:lineRule="auto"/>
              <w:rPr>
                <w:rFonts w:ascii="Garamond" w:eastAsia="Times New Roman" w:hAnsi="Garamond" w:cs="Times New Roman"/>
                <w:color w:val="000000"/>
                <w:sz w:val="20"/>
                <w:lang w:eastAsia="it-IT"/>
              </w:rPr>
            </w:pP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•Programma biennale delle forniture e servizi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•Programma triennale lavori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approvazione del Programma biennale/triennale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•Link profilo committente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sito informatico del Ministero delle infrastrutture e dei trasporti e dell’Osservatorio</w:t>
            </w:r>
          </w:p>
        </w:tc>
      </w:tr>
      <w:tr w:rsidR="00B75418"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è in possesso della qualificazione prevista all’art. 38 del d.lgs. n. 50/2016 e ha rispettato quanto disposto dall’art. 37 del d.lgs.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ad una Centrale di committenza o a soggetti aggregatori qualificati?</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mediante unioni di Comuni costituite o qualificate come Centrali di committenza, o associandosi o consorziandosi in Centrali di committenza?</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alla Stazione unica appaltante ai sensi dell’art.37 co. 4 d.lgs.50/2016?</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N.B.: comma in deroga fino al 30 giugno 2023, ma non per i progetti cofinanziati con PNRR o PNC</w:t>
            </w:r>
          </w:p>
          <w:p w:rsidR="00B75418" w:rsidRDefault="00B75418" w:rsidP="00B75418">
            <w:pPr>
              <w:spacing w:after="0" w:line="240" w:lineRule="auto"/>
              <w:jc w:val="both"/>
              <w:rPr>
                <w:rFonts w:ascii="Garamond" w:eastAsia="Times New Roman" w:hAnsi="Garamond" w:cs="Times New Roman"/>
                <w:i/>
                <w:iCs/>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Stazione Appaltante è la Provincia di Parma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w:t>
            </w:r>
          </w:p>
        </w:tc>
      </w:tr>
      <w:tr w:rsidR="00B75418"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nominato il Responsabile unico del procedimento ai sensi dell’art. 31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nomina del RUP</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nomina del RUP</w:t>
            </w:r>
          </w:p>
        </w:tc>
      </w:tr>
      <w:tr w:rsidR="00A742FA" w:rsidTr="00B75418">
        <w:trPr>
          <w:trHeight w:val="66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Nel caso di opere pubbliche, prima dell’inizio delle procedure di affidamento, gli elaborati progettuali sono stati verificati e validati ai sensi dell’art. 26, comma 8, del d.lgs. n. 50/2016, nonché approvati ai sensi dell’art. 27 del d. lgs 50/2016 medesimo?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highlight w:val="yellow"/>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highlight w:val="yellow"/>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Per l’effettuazione della specifica verifica si rimanda agli Artt. 23,26, 27 D.lgs. 50/2016.</w:t>
            </w:r>
          </w:p>
          <w:p w:rsidR="00A742FA" w:rsidRDefault="00A742FA" w:rsidP="00A742FA">
            <w:pPr>
              <w:spacing w:after="0" w:line="240" w:lineRule="auto"/>
              <w:rPr>
                <w:rFonts w:ascii="Garamond" w:eastAsia="Times New Roman" w:hAnsi="Garamond" w:cs="Times New Roman"/>
                <w:color w:val="000000"/>
                <w:sz w:val="20"/>
                <w:lang w:eastAsia="it-IT"/>
              </w:rPr>
            </w:pP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•Progetto di fattibilità tecnica ed economica, progetto definitivo, progetto esecutivo;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approvazione dei progetti/Atti di validazione del RUP</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di verifica svolti in contraddittorio con i progettisti</w:t>
            </w:r>
          </w:p>
        </w:tc>
      </w:tr>
      <w:tr w:rsidR="00B75418" w:rsidTr="00B75418">
        <w:trPr>
          <w:trHeight w:val="173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determina/delibera a contrarre/di affidamento contiene le informazioni essenziali richieste dal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b/>
                <w:bCs/>
                <w:color w:val="000000"/>
                <w:sz w:val="20"/>
                <w:lang w:eastAsia="it-IT"/>
              </w:rPr>
            </w:pPr>
            <w:r>
              <w:rPr>
                <w:rFonts w:ascii="Garamond" w:eastAsia="Times New Roman" w:hAnsi="Garamond" w:cs="Times New Roman"/>
                <w:color w:val="000000"/>
                <w:sz w:val="20"/>
                <w:lang w:eastAsia="it-IT"/>
              </w:rPr>
              <w:t xml:space="preserve">Per l’effettuazione della specifica verifica si rimanda all’art. 32 d. lgs. n. 50/2016.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b/>
                <w:bCs/>
                <w:color w:val="000000"/>
                <w:sz w:val="20"/>
                <w:lang w:eastAsia="it-IT"/>
              </w:rPr>
              <w:t>•</w:t>
            </w:r>
            <w:r>
              <w:rPr>
                <w:rFonts w:ascii="Garamond" w:eastAsia="Times New Roman" w:hAnsi="Garamond" w:cs="Times New Roman"/>
                <w:color w:val="000000"/>
                <w:sz w:val="20"/>
                <w:lang w:eastAsia="it-IT"/>
              </w:rPr>
              <w:t>Determina a contrarre o atto analogo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 (se approvata dalla determina)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lastRenderedPageBreak/>
              <w:t>•Dimostrazione dell’avvenuta pubblicazione ai sensi dell'art. 29 d.lgs. n. 50/2016</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valore stimato dell'appalto (lavori/servizi/ forniture) ai fini della scelta della procedura di affidamento: </w:t>
            </w:r>
          </w:p>
          <w:p w:rsidR="00B75418" w:rsidRDefault="00B75418" w:rsidP="00B75418">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basato sull'importo totale pagabile, al netto dell’I.V.A.?</w:t>
            </w:r>
            <w:r>
              <w:rPr>
                <w:rFonts w:ascii="Garamond" w:eastAsia="Times New Roman" w:hAnsi="Garamond" w:cs="Times New Roman"/>
                <w:color w:val="000000"/>
                <w:lang w:eastAsia="it-IT"/>
              </w:rPr>
              <w:tab/>
            </w:r>
          </w:p>
          <w:p w:rsidR="00B75418" w:rsidRDefault="00B75418" w:rsidP="00B75418">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comprensivo di qualsiasi forma di opzione e/o rinnovo del contratto?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affidamento diretto</w:t>
            </w:r>
            <w:r>
              <w:rPr>
                <w:rFonts w:ascii="Garamond" w:eastAsia="Times New Roman" w:hAnsi="Garamond" w:cs="Times New Roman"/>
                <w:color w:val="000000"/>
                <w:lang w:eastAsia="it-IT"/>
              </w:rPr>
              <w:t>, lo stesso risulta adeguatamente motivato?</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affidamenti diretti previa valutazione di preventivi</w:t>
            </w:r>
            <w:r>
              <w:rPr>
                <w:rFonts w:ascii="Garamond" w:eastAsia="Times New Roman" w:hAnsi="Garamond" w:cs="Times New Roman"/>
                <w:color w:val="000000"/>
                <w:lang w:eastAsia="it-IT"/>
              </w:rPr>
              <w:t xml:space="preserve"> (art. 36, comma 2, lett. b), del d.lgs. n. 50/2016), l’invito è stato trasmesso ad almeno 3 operatori, per i lavori, e 5 operatori, per servizi e forniture (se presenti data la natura dell’aggiudicazione) nel rispetto del principio di rotazione dei medesimi?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pubblicizzato sul suo sito l’avvio della consultazione e i risultati finali concernenti l’aggiudicazione?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affidamenti mediante </w:t>
            </w:r>
            <w:r>
              <w:rPr>
                <w:rFonts w:ascii="Garamond" w:eastAsia="Times New Roman" w:hAnsi="Garamond" w:cs="Times New Roman"/>
                <w:b/>
                <w:color w:val="000000"/>
                <w:lang w:eastAsia="it-IT"/>
              </w:rPr>
              <w:t>procedura negoziata senza pubblicazione del bando (ex art. 63 del d.lgs. n. 50/2016)</w:t>
            </w:r>
            <w:r>
              <w:rPr>
                <w:rFonts w:ascii="Garamond" w:eastAsia="Times New Roman" w:hAnsi="Garamond" w:cs="Times New Roman"/>
                <w:color w:val="000000"/>
                <w:lang w:eastAsia="it-IT"/>
              </w:rPr>
              <w:t>, l’invito degli operatori è stato fatto nel rispetto delle norme vigenti e del principio di rotazione dei fornitori?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pubblicizzato sul suo sito l’avvio della consultazione e i risultati finali concernenti l’aggiudicazione?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 avviso/ecc.) riporta il riferimento esplicito al finanziamento da parte dell’Unione europea e all’iniziativa </w:t>
            </w:r>
            <w:r>
              <w:rPr>
                <w:rFonts w:ascii="Garamond" w:eastAsia="Times New Roman" w:hAnsi="Garamond" w:cs="Times New Roman"/>
                <w:i/>
                <w:iCs/>
                <w:color w:val="000000"/>
                <w:lang w:eastAsia="it-IT"/>
              </w:rPr>
              <w:t>Next Generation EU</w:t>
            </w:r>
            <w:r>
              <w:rPr>
                <w:rFonts w:ascii="Garamond" w:eastAsia="Times New Roman" w:hAnsi="Garamond" w:cs="Times New Roman"/>
                <w:color w:val="000000"/>
                <w:lang w:eastAsia="it-IT"/>
              </w:rPr>
              <w:t xml:space="preserve"> (relativa missione e componente) e l’emblema dell’UE?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•Determina a contrarre o atto analogo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•Bando </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•Capitolato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riconducibilità nel caso di progetti in essere</w:t>
            </w:r>
          </w:p>
        </w:tc>
      </w:tr>
      <w:tr w:rsidR="00B75418" w:rsidTr="00B75418">
        <w:trPr>
          <w:trHeight w:val="131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CIG e il CUP e sono stati riportati nella documentazione relativa all’affidamento?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•CIG</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•CUP</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Scheda CUP</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•CUP</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specificati:</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descrizione esaustiva dell’oggetto del contratto/appalto?</w:t>
            </w:r>
          </w:p>
          <w:p w:rsidR="00B75418" w:rsidRDefault="00B75418" w:rsidP="00B75418">
            <w:pPr>
              <w:pStyle w:val="Paragrafoelenco"/>
              <w:numPr>
                <w:ilvl w:val="0"/>
                <w:numId w:val="7"/>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criteri di selezione degli operatori economici? </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criteri di aggiudicazione?</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criteri di valutazione e la relativa ponderazione?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criteri di selezione riguardano esclusivamente:</w:t>
            </w:r>
          </w:p>
          <w:p w:rsidR="00B75418" w:rsidRDefault="00B75418" w:rsidP="00B75418">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requisiti d’idoneità professionale?</w:t>
            </w:r>
          </w:p>
          <w:p w:rsidR="00B75418" w:rsidRDefault="00B75418" w:rsidP="00B75418">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capacità economica e finanziaria?</w:t>
            </w:r>
          </w:p>
          <w:p w:rsidR="00B75418" w:rsidRDefault="00B75418" w:rsidP="00B75418">
            <w:pPr>
              <w:pStyle w:val="Paragrafoelenco"/>
              <w:numPr>
                <w:ilvl w:val="0"/>
                <w:numId w:val="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capacità tecniche e professionali?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Se l’appalto è suddiviso in lotti funzionali o prestazionali, per la definizione delle soglie è stato computato il valore complessivo stimato della totalità di tali lotti ai sensi dell’art. 35, comma 9, del d.lgs. n. 50/2016?</w:t>
            </w:r>
          </w:p>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dato evidenza delle ragioni oggettive che lo giustificano?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costi della sicurezza sono stati scorporati dal costo dell’importo assoggettato a ribasso (art. 23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(bando/lettera d’invito/Capitolato speciale d’appalto) è prevista:</w:t>
            </w:r>
          </w:p>
          <w:p w:rsidR="00A742FA" w:rsidRDefault="00A742FA" w:rsidP="00A742FA">
            <w:pPr>
              <w:pStyle w:val="Paragrafoelenco"/>
              <w:numPr>
                <w:ilvl w:val="0"/>
                <w:numId w:val="5"/>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modifiche/varianti ai sensi dell’art. 106 del codice die contratti?</w:t>
            </w:r>
          </w:p>
          <w:p w:rsidR="00A742FA" w:rsidRDefault="00A742FA" w:rsidP="00A742FA">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subappalto?</w:t>
            </w:r>
          </w:p>
          <w:p w:rsidR="00A742FA" w:rsidRDefault="00A742FA" w:rsidP="00A742FA">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avvalimento?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 comma 1,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•Invito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termini fissati nel bando/avviso di gara per la presentazione delle offerte/domande di partecipazione sono conformi alla normativa vigente in materia di appalti, in particolare a quanto previsto dal d.lgs. n. 50/2016 in funzione della procedura di aggiudicazione scelta?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tc>
      </w:tr>
      <w:tr w:rsidR="00B75418" w:rsidTr="00B75418">
        <w:trPr>
          <w:trHeight w:val="182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Per le finalità previste in materia di 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 comma 1, e art. 213, commi 8 e 9, del d. lgs. n. 50/2016)?</w:t>
            </w:r>
          </w:p>
          <w:p w:rsidR="00B75418" w:rsidRDefault="00B75418" w:rsidP="00B75418">
            <w:pPr>
              <w:spacing w:after="0" w:line="240" w:lineRule="auto"/>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i/>
                <w:color w:val="000000"/>
                <w:lang w:eastAsia="it-IT"/>
              </w:rPr>
            </w:pPr>
            <w:r>
              <w:rPr>
                <w:rFonts w:ascii="Garamond" w:eastAsia="Times New Roman" w:hAnsi="Garamond" w:cs="Times New Roman"/>
                <w:i/>
                <w:color w:val="000000"/>
                <w:lang w:eastAsia="it-IT"/>
              </w:rPr>
              <w:lastRenderedPageBreak/>
              <w:t>*nelle more dell’entrata in vigore dell’indicata Banca Dati, si ritiene che tali atti, devono continuare ad essere pubblicati sulla piattaforma del MIMS (Parere MIMS n. 1300/2022)</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del committente nella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Sezione Amministrazione Trasparente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ANAC</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rispettato quanto previsto dagli artt. 72 e 73 del d.l.gs n. 50/2016, dal D.M. del 02/12/2016, e dall’art. 1, comma 2, del D.L. n. 76/2020 e </w:t>
            </w:r>
            <w:proofErr w:type="gramStart"/>
            <w:r>
              <w:rPr>
                <w:rFonts w:ascii="Garamond" w:eastAsia="Times New Roman" w:hAnsi="Garamond" w:cs="Times New Roman"/>
                <w:color w:val="000000"/>
                <w:lang w:eastAsia="it-IT"/>
              </w:rPr>
              <w:t>ss.mm.ii</w:t>
            </w:r>
            <w:proofErr w:type="gramEnd"/>
            <w:r>
              <w:rPr>
                <w:rFonts w:ascii="Garamond" w:eastAsia="Times New Roman" w:hAnsi="Garamond" w:cs="Times New Roman"/>
                <w:color w:val="000000"/>
                <w:lang w:eastAsia="it-IT"/>
              </w:rPr>
              <w:t xml:space="preserve"> ovvero dall’art. 36, comma 9, del d.lgs. n. 50/2016, in materia di pubblicazione degli avvisi e dei bandi di gara?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 di importo inferiore a € 40,000,00</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•GUUE</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•Estremi GURI</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•Copie delle pubblicazioni sui Quotidiani </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di collegamento ai siti informatici</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 concorrenti hanno presentato il Documento di Gara Unico Europeo (DGUE) ai sensi dell’art. 85 d.lgs. n. 50/2016 in formato elettronico?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 di importo inferiore a € 40,000,00</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 05/01/2016?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 di importo inferiore a € 40,000,00</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Affidamenti in house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sono soddisfatte tutte le condizioni di cui all’art. 5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Statuto ente in house; atto formale di riconoscimento della natura di </w:t>
            </w:r>
            <w:r>
              <w:rPr>
                <w:rFonts w:ascii="Garamond" w:eastAsia="Times New Roman" w:hAnsi="Garamond" w:cs="Times New Roman"/>
                <w:i/>
                <w:iCs/>
                <w:color w:val="000000"/>
                <w:sz w:val="20"/>
                <w:lang w:eastAsia="it-IT"/>
              </w:rPr>
              <w:t xml:space="preserve">in house providing </w:t>
            </w:r>
            <w:r>
              <w:rPr>
                <w:rFonts w:ascii="Garamond" w:eastAsia="Times New Roman" w:hAnsi="Garamond" w:cs="Times New Roman"/>
                <w:color w:val="000000"/>
                <w:sz w:val="20"/>
                <w:lang w:eastAsia="it-IT"/>
              </w:rPr>
              <w:t>dell’ente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Atto/rapporto recante la valutazione di congruità economica</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prima di procedere all'affidamento con modalità “in house” per servizi comunemente disponibili sul mercato concorrenziale, ha effettuato una valutazione della congruità economica dell’offerta formulata del soggetto “in house”, avendo riguardo all’oggetto e al valore della prestazione?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provvedimento di 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contiene le motivazioni del mancato ricorso al mercato?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adeguatamente motivate le ragioni dell’affidamento </w:t>
            </w:r>
            <w:r>
              <w:rPr>
                <w:rFonts w:ascii="Garamond" w:eastAsia="Times New Roman" w:hAnsi="Garamond" w:cs="Times New Roman"/>
                <w:i/>
                <w:iCs/>
                <w:color w:val="000000"/>
                <w:lang w:eastAsia="it-IT"/>
              </w:rPr>
              <w:t xml:space="preserve">in house </w:t>
            </w:r>
            <w:r>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affidamento del servizio/contratto</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Verifica del rispetto della normativa appalti: commissione di gara e aggiudicazione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rispettate le norme previste dall’art. 77 del d.lgs. n. 50/2016 in relazione alla costituzione della Commissione giudicatrice?</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e altra documentazione di gara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•Eventuale regolamento interno alla stazione appaltante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ANAC n. 5</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lang w:eastAsia="it-IT"/>
              </w:rPr>
            </w:pPr>
            <w:r>
              <w:rPr>
                <w:rFonts w:ascii="Garamond" w:eastAsia="Times New Roman" w:hAnsi="Garamond" w:cs="Times New Roman"/>
                <w:lang w:eastAsia="it-IT"/>
              </w:rPr>
              <w:t>Nella nomina dei commissari, sono state rispettate le ulteriori clausole di incompatibilità previste ai commi 4, 5, 6 e 9 dell’art. 77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•Dichiarazioni di insussistenza di cause di incompatibilità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lang w:eastAsia="it-IT"/>
              </w:rPr>
            </w:pPr>
            <w:r>
              <w:rPr>
                <w:rFonts w:ascii="Garamond" w:eastAsia="Times New Roman" w:hAnsi="Garamond" w:cs="Times New Roman"/>
                <w:lang w:eastAsia="it-IT"/>
              </w:rPr>
              <w:t>La scelta dei criteri di aggiudicazione dell’appalto è stata effettuata dalla Stazione Appaltante in conformità con le disposizioni previste dall'art. 95 del d.lgs. n. 50/2016, commi 2, 3, 6 e 7?</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 comma 7,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offerte sono corredate da “garanzia provvisoria” unitamente all’impegno del fideiussore, anche diverso da quello che ha rilasciato la predetta garanzia, a rilasciare la garanzia fidejussoria per l’esecuzione del contratto, nel pieno rispetto di quanto previsto all’art. 93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richiesta </w:t>
            </w:r>
            <w:r w:rsidRPr="003F5AA7">
              <w:rPr>
                <w:rFonts w:ascii="Garamond" w:eastAsia="Times New Roman" w:hAnsi="Garamond" w:cs="Times New Roman"/>
                <w:b/>
                <w:bCs/>
                <w:color w:val="000000"/>
                <w:lang w:eastAsia="it-IT"/>
              </w:rPr>
              <w:t>in conformità a quanto disposto dall’art. 53, comma 1,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 commi 4 e 5, del d.lgs. n. 50/2016?</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valutazione del prezzo è conforme a quanto disposto dall’art. 95 del d. lgs. n. 50/2016 (offerte inferiori a base di gara, non condizionate, non parziali, verifica eventuali calcoli composizione prezzo offerto)?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verifica dei requisiti generali è avvenuta tenendo conto dei motivi di esclusione previsti all’art. 80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B75418" w:rsidTr="00B75418">
        <w:trPr>
          <w:trHeight w:val="1226"/>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stati redatti i verbali delle operazioni di gara da parte del RUP e/o dalla Commissione giudicatrice?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B75418" w:rsidTr="00B75418">
        <w:trPr>
          <w:trHeight w:val="1030"/>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B75418" w:rsidTr="00B75418">
        <w:trPr>
          <w:trHeight w:val="98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hAnsi="Garamond"/>
              </w:rPr>
            </w:pPr>
            <w:r>
              <w:rPr>
                <w:rFonts w:ascii="Garamond" w:hAnsi="Garamond"/>
              </w:rPr>
              <w:t>È stata formulata la proposta di aggiudicazione ai sensi degli artt. 32, comma 5, e 33, comma 1, del d.lgs. n. 50/2016 ed è stata approvata dall’organo competente?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con proposta di aggiudicazione</w:t>
            </w:r>
          </w:p>
        </w:tc>
      </w:tr>
      <w:tr w:rsidR="00B75418" w:rsidTr="00B75418">
        <w:trPr>
          <w:trHeight w:val="97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hAnsi="Garamond"/>
              </w:rPr>
              <w:t xml:space="preserve">L’aggiudicazione è avvenuta sulla base dei criteri indicati nella documentazione di gara?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di aggiudicazione</w:t>
            </w:r>
          </w:p>
        </w:tc>
      </w:tr>
      <w:tr w:rsidR="00B75418" w:rsidTr="00B75418">
        <w:trPr>
          <w:trHeight w:val="70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acquisita la dichiarazione della Stazione appaltante con cui viene attestata la presenza/assenza di ricorsi avverso l’aggiudicazione?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•Attestazione assenza ricorsi</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F</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la stipula del contratto</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decorso il termine di 35 giorni dall’invio dell’ultima delle comunicazioni del provvedimento di aggiudicazione definitiva ai sensi dell'art. 32, comma 9,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030"/>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 del d.lgs. n. 50/2016?</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17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 32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83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83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di appalto di importo pari o superiore alle soglie comunitarie di cui all’art. 35 del d. lgs. n. 50/2016 è stato stipulato dopo aver acquisito l’informativa antimafia di cui agli artt. 84, comma 3, 90 e 91, d.lgs. n. 159/2011 acquisita tramite la banca dati nazionale unica?</w:t>
            </w:r>
          </w:p>
          <w:p w:rsidR="00B75418" w:rsidRDefault="00B75418" w:rsidP="00B75418">
            <w:pPr>
              <w:spacing w:after="0" w:line="240" w:lineRule="auto"/>
              <w:rPr>
                <w:rFonts w:ascii="Garamond" w:eastAsia="Times New Roman" w:hAnsi="Garamond" w:cs="Times New Roman"/>
                <w:i/>
                <w:color w:val="000000"/>
                <w:lang w:eastAsia="it-IT"/>
              </w:rPr>
            </w:pPr>
            <w:r>
              <w:rPr>
                <w:rFonts w:ascii="Garamond" w:eastAsia="Times New Roman" w:hAnsi="Garamond" w:cs="Times New Roman"/>
                <w:i/>
                <w:color w:val="000000"/>
                <w:lang w:eastAsia="it-IT"/>
              </w:rPr>
              <w:t>Oppure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b) nei casi di cui all’art. 92, comma 3, del d.lgs. n. 159 del 2011, senza l’informativa prefettizia sotto condizione risolutiva??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•Richiesta comunicazione antimafia</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•Autocertificazione</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tc>
      </w:tr>
      <w:tr w:rsidR="00B75418" w:rsidTr="00B75418">
        <w:trPr>
          <w:trHeight w:val="821"/>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successivamente all’acquisizione di:</w:t>
            </w:r>
          </w:p>
          <w:p w:rsidR="00B75418" w:rsidRDefault="00B75418" w:rsidP="00B7541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Certificati della Camera di Commercio;</w:t>
            </w:r>
          </w:p>
          <w:p w:rsidR="00B75418" w:rsidRDefault="00B75418" w:rsidP="00B7541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B75418" w:rsidRDefault="00B75418" w:rsidP="00B7541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DURC;</w:t>
            </w:r>
          </w:p>
          <w:p w:rsidR="00B75418" w:rsidRDefault="00B75418" w:rsidP="00B75418">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per contratti superiori alla soglia comunitaria (IVA esclusa);</w:t>
            </w:r>
          </w:p>
          <w:p w:rsidR="00B75418" w:rsidRDefault="00B75418" w:rsidP="00B75418">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per contratti di importo superiore a 150.000,00 € ma inferiore alla soglia comunitaria (IVA esclusa)?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•Certificato Camera di Commercio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•DURC </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in corso di validità</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in corso di validità</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secondo le forme e modalità previste dall’art. 32, comma 14, del d. lgs. n. 50/2016 e firmato da soggetti con poteri di firma?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aggiudicazione</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•Procura</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•Camera di Commercio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è stato precisato che il pagamento delle spese sostenute dal soggetto attuatore viene effettuato con risorse del Fondo di Rotazione per l’attuazione dell’iniziativa </w:t>
            </w:r>
            <w:r>
              <w:rPr>
                <w:rFonts w:ascii="Garamond" w:eastAsia="Times New Roman" w:hAnsi="Garamond" w:cs="Times New Roman"/>
                <w:i/>
                <w:iCs/>
                <w:color w:val="000000"/>
                <w:lang w:eastAsia="it-IT"/>
              </w:rPr>
              <w:t>Next Generation EU</w:t>
            </w:r>
            <w:r>
              <w:rPr>
                <w:rFonts w:ascii="Garamond" w:eastAsia="Times New Roman" w:hAnsi="Garamond" w:cs="Times New Roman"/>
                <w:color w:val="000000"/>
                <w:lang w:eastAsia="it-IT"/>
              </w:rPr>
              <w:t xml:space="preserve"> – Italia?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•Scheda progetto/investimento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•Accordo di concessione/Contratto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ammissibilità</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stata costituita la “garanzia definitiva”, nel pieno rispetto di quanto previsto all’ art. 103 del d. lgs. n. 50/2016 e ove pertinente la “garanzia di buon adempimento” e la “garanzia per la risoluzione” nel pieno rispetto di quanto previsto all’ art. 104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R</w:t>
            </w:r>
            <w:r w:rsidRPr="003F5AA7">
              <w:rPr>
                <w:rFonts w:ascii="Garamond" w:eastAsia="Times New Roman" w:hAnsi="Garamond" w:cs="Times New Roman"/>
                <w:b/>
                <w:bCs/>
                <w:color w:val="000000"/>
                <w:lang w:eastAsia="it-IT"/>
              </w:rPr>
              <w:t>iferimento a quanto disposto dall’art. 53, comma 4,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•Garanzia fideiussoria</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n. 136/2010?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firmato digitalmente da tutti i soggetti con poteri di firma?</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particolare:</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presentato atto di conferimento dei poteri di firma in capo al soggetto della stazione appaltante?</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dalla CCIAA o da altro documento si evince il potere di firma in capo all’operatore economico?</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presentata comprova dell’esito positivo della firma digitale dei contraenti?</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G</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esecuzione del contratto</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07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presente il verbale di inizio attività/consegna lavori parziale/definitiva?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Verbale di inizio attività/consegna dei lavori</w:t>
            </w:r>
          </w:p>
        </w:tc>
      </w:tr>
      <w:tr w:rsidR="00B75418" w:rsidTr="00B75418">
        <w:trPr>
          <w:trHeight w:val="107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stato rispettato quanto previsto dall’ art. 105 del d. lgs. n. 50/2016 in merito al subappalto?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color w:val="3465A4"/>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eventuali modifiche o varianti sono state autorizzate dal RUP con le modalità previste dall’ordinamento della stazione appaltante cui il RUP dipende, ai sensi dell’art. 106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sulle varianti/modifiche</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rispettata la durata prevista nel contratto?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emesso il verbale di ultimazione lavori?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trasmesso il certificato di regolare esecuzione/collaudo/certificato di verifica di conformità?</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H</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Conservazione della documentazione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Fascicolo e documenti di gara</w:t>
            </w:r>
          </w:p>
        </w:tc>
      </w:tr>
    </w:tbl>
    <w:p w:rsidR="00BC4BB9" w:rsidRDefault="00BC4BB9"/>
    <w:p w:rsidR="00BC4BB9" w:rsidRDefault="00BC4BB9"/>
    <w:tbl>
      <w:tblPr>
        <w:tblW w:w="4050" w:type="pct"/>
        <w:jc w:val="center"/>
        <w:tblCellMar>
          <w:left w:w="70" w:type="dxa"/>
          <w:right w:w="70" w:type="dxa"/>
        </w:tblCellMar>
        <w:tblLook w:val="04A0" w:firstRow="1" w:lastRow="0" w:firstColumn="1" w:lastColumn="0" w:noHBand="0" w:noVBand="1"/>
      </w:tblPr>
      <w:tblGrid>
        <w:gridCol w:w="9027"/>
        <w:gridCol w:w="612"/>
        <w:gridCol w:w="1917"/>
      </w:tblGrid>
      <w:tr w:rsidR="00BC4BB9">
        <w:trPr>
          <w:trHeight w:val="600"/>
          <w:jc w:val="center"/>
        </w:trPr>
        <w:tc>
          <w:tcPr>
            <w:tcW w:w="11572" w:type="dxa"/>
            <w:gridSpan w:val="3"/>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ESITI</w:t>
            </w:r>
          </w:p>
        </w:tc>
      </w:tr>
      <w:tr w:rsidR="00BC4BB9">
        <w:trPr>
          <w:trHeight w:val="465"/>
          <w:jc w:val="center"/>
        </w:trPr>
        <w:tc>
          <w:tcPr>
            <w:tcW w:w="9042"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Esito del controllo:</w:t>
            </w:r>
          </w:p>
        </w:tc>
        <w:tc>
          <w:tcPr>
            <w:tcW w:w="613" w:type="dxa"/>
            <w:tcBorders>
              <w:bottom w:val="single" w:sz="4" w:space="0" w:color="000000"/>
              <w:right w:val="single" w:sz="4" w:space="0" w:color="000000"/>
            </w:tcBorders>
            <w:shd w:val="clear" w:color="000000" w:fill="FFFFFF"/>
            <w:vAlign w:val="center"/>
          </w:tcPr>
          <w:p w:rsidR="00BC4BB9" w:rsidRDefault="00774F6B">
            <w:pPr>
              <w:spacing w:after="0" w:line="240" w:lineRule="auto"/>
              <w:jc w:val="center"/>
            </w:pPr>
            <w:r>
              <w:rPr>
                <w:rFonts w:ascii="Wingdings" w:eastAsia="Wingdings" w:hAnsi="Wingdings" w:cs="Wingdings"/>
                <w:color w:val="000000"/>
                <w:lang w:eastAsia="it-IT"/>
              </w:rPr>
              <w:t></w:t>
            </w:r>
          </w:p>
        </w:tc>
        <w:tc>
          <w:tcPr>
            <w:tcW w:w="1917" w:type="dxa"/>
            <w:tcBorders>
              <w:bottom w:val="single" w:sz="4"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POSITIVO</w:t>
            </w:r>
          </w:p>
        </w:tc>
      </w:tr>
      <w:tr w:rsidR="00BC4BB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shd w:val="clear" w:color="000000" w:fill="FFFFFF"/>
            <w:vAlign w:val="center"/>
          </w:tcPr>
          <w:p w:rsidR="00BC4BB9" w:rsidRDefault="00BC4BB9">
            <w:pPr>
              <w:spacing w:after="0" w:line="240" w:lineRule="auto"/>
              <w:jc w:val="center"/>
              <w:rPr>
                <w:rFonts w:ascii="Garamond" w:eastAsia="Times New Roman" w:hAnsi="Garamond" w:cs="Times New Roman"/>
                <w:b/>
                <w:bCs/>
                <w:color w:val="000000"/>
                <w:lang w:eastAsia="it-IT"/>
              </w:rPr>
            </w:pPr>
          </w:p>
        </w:tc>
        <w:tc>
          <w:tcPr>
            <w:tcW w:w="613" w:type="dxa"/>
            <w:tcBorders>
              <w:bottom w:val="single" w:sz="4"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4"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PARZIALMENTE POSITIVO</w:t>
            </w:r>
          </w:p>
        </w:tc>
      </w:tr>
      <w:tr w:rsidR="00BC4BB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vAlign w:val="center"/>
          </w:tcPr>
          <w:p w:rsidR="00BC4BB9" w:rsidRDefault="00BC4BB9">
            <w:pPr>
              <w:spacing w:after="0" w:line="240" w:lineRule="auto"/>
              <w:jc w:val="center"/>
              <w:rPr>
                <w:rFonts w:ascii="Garamond" w:eastAsia="Times New Roman" w:hAnsi="Garamond" w:cs="Times New Roman"/>
                <w:b/>
                <w:bCs/>
                <w:color w:val="000000"/>
                <w:lang w:eastAsia="it-IT"/>
              </w:rPr>
            </w:pPr>
          </w:p>
        </w:tc>
        <w:tc>
          <w:tcPr>
            <w:tcW w:w="613" w:type="dxa"/>
            <w:tcBorders>
              <w:bottom w:val="single" w:sz="8"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8"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NEGATIVO</w:t>
            </w:r>
          </w:p>
        </w:tc>
      </w:tr>
    </w:tbl>
    <w:p w:rsidR="00BC4BB9" w:rsidRDefault="00BC4BB9"/>
    <w:p w:rsidR="00BC4BB9" w:rsidRDefault="00BC4BB9"/>
    <w:p w:rsidR="00BC4BB9" w:rsidRDefault="00BC4BB9"/>
    <w:tbl>
      <w:tblPr>
        <w:tblW w:w="2900" w:type="pct"/>
        <w:jc w:val="center"/>
        <w:tblCellMar>
          <w:left w:w="70" w:type="dxa"/>
          <w:right w:w="70" w:type="dxa"/>
        </w:tblCellMar>
        <w:tblLook w:val="04A0" w:firstRow="1" w:lastRow="0" w:firstColumn="1" w:lastColumn="0" w:noHBand="0" w:noVBand="1"/>
      </w:tblPr>
      <w:tblGrid>
        <w:gridCol w:w="4252"/>
        <w:gridCol w:w="4023"/>
      </w:tblGrid>
      <w:tr w:rsidR="00BC4BB9">
        <w:trPr>
          <w:trHeight w:val="600"/>
          <w:jc w:val="center"/>
        </w:trPr>
        <w:tc>
          <w:tcPr>
            <w:tcW w:w="4257"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Pr="00C23C74" w:rsidRDefault="00774F6B">
            <w:pPr>
              <w:spacing w:after="0" w:line="240" w:lineRule="auto"/>
              <w:rPr>
                <w:rFonts w:ascii="Garamond" w:eastAsia="Times New Roman" w:hAnsi="Garamond" w:cs="Times New Roman"/>
                <w:b/>
                <w:bCs/>
                <w:lang w:eastAsia="it-IT"/>
              </w:rPr>
            </w:pPr>
            <w:r w:rsidRPr="00C23C74">
              <w:rPr>
                <w:rFonts w:ascii="Garamond" w:eastAsia="Times New Roman" w:hAnsi="Garamond" w:cs="Times New Roman"/>
                <w:b/>
                <w:bCs/>
                <w:lang w:eastAsia="it-IT"/>
              </w:rPr>
              <w:t>Importo rendicontato</w:t>
            </w:r>
          </w:p>
        </w:tc>
        <w:tc>
          <w:tcPr>
            <w:tcW w:w="4028"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Pr="00C23C74" w:rsidRDefault="00774F6B">
            <w:pPr>
              <w:spacing w:after="0" w:line="240" w:lineRule="auto"/>
              <w:jc w:val="center"/>
            </w:pPr>
            <w:r w:rsidRPr="00C23C74">
              <w:rPr>
                <w:rFonts w:ascii="Garamond" w:eastAsia="Times New Roman" w:hAnsi="Garamond" w:cs="Times New Roman"/>
                <w:b/>
                <w:bCs/>
                <w:lang w:eastAsia="it-IT"/>
              </w:rPr>
              <w:t xml:space="preserve">€ </w:t>
            </w:r>
            <w:r w:rsidRPr="00C23C74">
              <w:rPr>
                <w:rFonts w:ascii="Garamond" w:eastAsia="Times New Roman" w:hAnsi="Garamond" w:cs="Times New Roman"/>
                <w:b/>
                <w:bCs/>
                <w:color w:val="000000"/>
                <w:lang w:eastAsia="it-IT"/>
              </w:rPr>
              <w:t>0,00</w:t>
            </w:r>
          </w:p>
        </w:tc>
      </w:tr>
      <w:tr w:rsidR="00BC4BB9">
        <w:trPr>
          <w:trHeight w:val="569"/>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Pr="00C23C74" w:rsidRDefault="00774F6B">
            <w:pPr>
              <w:spacing w:after="0" w:line="240" w:lineRule="auto"/>
              <w:rPr>
                <w:rFonts w:ascii="Garamond" w:eastAsia="Times New Roman" w:hAnsi="Garamond" w:cs="Times New Roman"/>
                <w:color w:val="000000"/>
                <w:lang w:eastAsia="it-IT"/>
              </w:rPr>
            </w:pPr>
            <w:r w:rsidRPr="00C23C74">
              <w:rPr>
                <w:rFonts w:ascii="Garamond" w:eastAsia="Times New Roman" w:hAnsi="Garamond" w:cs="Times New Roman"/>
                <w:color w:val="000000"/>
                <w:lang w:eastAsia="it-IT"/>
              </w:rPr>
              <w:t>Importo controllato</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Pr="00C23C74" w:rsidRDefault="0007201B">
            <w:pPr>
              <w:spacing w:after="0" w:line="240" w:lineRule="auto"/>
              <w:jc w:val="center"/>
            </w:pPr>
            <w:r w:rsidRPr="0007201B">
              <w:rPr>
                <w:rFonts w:ascii="Garamond" w:eastAsia="Times New Roman" w:hAnsi="Garamond" w:cstheme="minorHAnsi"/>
                <w:lang w:eastAsia="it-IT"/>
              </w:rPr>
              <w:t>€ 9.516,00</w:t>
            </w:r>
          </w:p>
        </w:tc>
      </w:tr>
      <w:tr w:rsidR="00BC4BB9">
        <w:trPr>
          <w:trHeight w:val="627"/>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Pr="00C23C74" w:rsidRDefault="00774F6B">
            <w:pPr>
              <w:spacing w:after="0" w:line="240" w:lineRule="auto"/>
              <w:rPr>
                <w:rFonts w:ascii="Garamond" w:eastAsia="Times New Roman" w:hAnsi="Garamond" w:cs="Times New Roman"/>
                <w:color w:val="000000"/>
                <w:lang w:eastAsia="it-IT"/>
              </w:rPr>
            </w:pPr>
            <w:r w:rsidRPr="00C23C74">
              <w:rPr>
                <w:rFonts w:ascii="Garamond" w:eastAsia="Times New Roman" w:hAnsi="Garamond" w:cs="Times New Roman"/>
                <w:color w:val="000000"/>
                <w:lang w:eastAsia="it-IT"/>
              </w:rPr>
              <w:t>Importo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Pr="00C23C74" w:rsidRDefault="0007201B">
            <w:pPr>
              <w:spacing w:after="0" w:line="240" w:lineRule="auto"/>
              <w:jc w:val="center"/>
            </w:pPr>
            <w:r w:rsidRPr="0007201B">
              <w:rPr>
                <w:rFonts w:ascii="Garamond" w:eastAsia="Times New Roman" w:hAnsi="Garamond" w:cstheme="minorHAnsi"/>
                <w:lang w:eastAsia="it-IT"/>
              </w:rPr>
              <w:t>€ 9.516,00</w:t>
            </w:r>
          </w:p>
        </w:tc>
      </w:tr>
      <w:tr w:rsidR="00BC4BB9">
        <w:trPr>
          <w:trHeight w:val="693"/>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Pr="00C23C74" w:rsidRDefault="00774F6B">
            <w:pPr>
              <w:spacing w:after="0" w:line="240" w:lineRule="auto"/>
              <w:rPr>
                <w:rFonts w:ascii="Garamond" w:eastAsia="Times New Roman" w:hAnsi="Garamond" w:cs="Times New Roman"/>
                <w:color w:val="000000"/>
                <w:lang w:eastAsia="it-IT"/>
              </w:rPr>
            </w:pPr>
            <w:r w:rsidRPr="00C23C74">
              <w:rPr>
                <w:rFonts w:ascii="Garamond" w:eastAsia="Times New Roman" w:hAnsi="Garamond" w:cs="Times New Roman"/>
                <w:color w:val="000000"/>
                <w:lang w:eastAsia="it-IT"/>
              </w:rPr>
              <w:t>Importo non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Pr="00C23C74" w:rsidRDefault="00774F6B">
            <w:pPr>
              <w:spacing w:after="0" w:line="240" w:lineRule="auto"/>
              <w:jc w:val="center"/>
            </w:pPr>
            <w:bookmarkStart w:id="0" w:name="_GoBack"/>
            <w:bookmarkEnd w:id="0"/>
            <w:r w:rsidRPr="00C23C74">
              <w:rPr>
                <w:rFonts w:ascii="Garamond" w:eastAsia="Times New Roman" w:hAnsi="Garamond" w:cs="Times New Roman"/>
                <w:bCs/>
                <w:lang w:eastAsia="it-IT"/>
              </w:rPr>
              <w:t xml:space="preserve">€ </w:t>
            </w:r>
            <w:r w:rsidRPr="00C23C74">
              <w:rPr>
                <w:rFonts w:ascii="Garamond" w:eastAsia="Times New Roman" w:hAnsi="Garamond" w:cs="Times New Roman"/>
                <w:bCs/>
                <w:color w:val="000000"/>
                <w:lang w:eastAsia="it-IT"/>
              </w:rPr>
              <w:t>0,00</w:t>
            </w:r>
          </w:p>
        </w:tc>
      </w:tr>
    </w:tbl>
    <w:p w:rsidR="00BC4BB9" w:rsidRDefault="00BC4BB9"/>
    <w:p w:rsidR="00BC4BB9" w:rsidRDefault="00BC4BB9"/>
    <w:tbl>
      <w:tblPr>
        <w:tblW w:w="4000" w:type="pct"/>
        <w:jc w:val="center"/>
        <w:tblCellMar>
          <w:left w:w="70" w:type="dxa"/>
          <w:right w:w="70" w:type="dxa"/>
        </w:tblCellMar>
        <w:tblLook w:val="04A0" w:firstRow="1" w:lastRow="0" w:firstColumn="1" w:lastColumn="0" w:noHBand="0" w:noVBand="1"/>
      </w:tblPr>
      <w:tblGrid>
        <w:gridCol w:w="11414"/>
      </w:tblGrid>
      <w:tr w:rsidR="00BC4BB9">
        <w:trPr>
          <w:trHeight w:val="600"/>
          <w:jc w:val="center"/>
        </w:trPr>
        <w:tc>
          <w:tcPr>
            <w:tcW w:w="11429"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highlight w:val="yellow"/>
                <w:lang w:eastAsia="it-IT"/>
              </w:rPr>
            </w:pPr>
            <w:r>
              <w:rPr>
                <w:rFonts w:ascii="Garamond" w:eastAsia="Times New Roman" w:hAnsi="Garamond" w:cs="Times New Roman"/>
                <w:b/>
                <w:bCs/>
                <w:lang w:eastAsia="it-IT"/>
              </w:rPr>
              <w:t>Note (Osservazioni/Raccomandazioni/Segnalazione irregolarità)</w:t>
            </w:r>
          </w:p>
        </w:tc>
      </w:tr>
      <w:tr w:rsidR="00BC4BB9">
        <w:trPr>
          <w:trHeight w:hRule="exact" w:val="1080"/>
          <w:jc w:val="center"/>
        </w:trPr>
        <w:tc>
          <w:tcPr>
            <w:tcW w:w="1142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BC4BB9">
            <w:pPr>
              <w:spacing w:after="0" w:line="240" w:lineRule="auto"/>
              <w:jc w:val="center"/>
              <w:rPr>
                <w:rFonts w:ascii="Garamond" w:eastAsia="Times New Roman" w:hAnsi="Garamond" w:cs="Times New Roman"/>
                <w:color w:val="000000"/>
                <w:highlight w:val="yellow"/>
                <w:lang w:eastAsia="it-IT"/>
              </w:rPr>
            </w:pPr>
          </w:p>
        </w:tc>
      </w:tr>
    </w:tbl>
    <w:p w:rsidR="00BC4BB9" w:rsidRDefault="00BC4BB9">
      <w:pPr>
        <w:rPr>
          <w:rFonts w:ascii="Garamond" w:hAnsi="Garamond"/>
        </w:rPr>
      </w:pPr>
    </w:p>
    <w:tbl>
      <w:tblPr>
        <w:tblpPr w:leftFromText="141" w:rightFromText="141" w:vertAnchor="text" w:horzAnchor="page" w:tblpX="2536" w:tblpY="25"/>
        <w:tblW w:w="4000" w:type="pct"/>
        <w:tblCellMar>
          <w:left w:w="70" w:type="dxa"/>
          <w:right w:w="70" w:type="dxa"/>
        </w:tblCellMar>
        <w:tblLook w:val="04A0" w:firstRow="1" w:lastRow="0" w:firstColumn="1" w:lastColumn="0" w:noHBand="0" w:noVBand="1"/>
      </w:tblPr>
      <w:tblGrid>
        <w:gridCol w:w="6209"/>
        <w:gridCol w:w="5213"/>
      </w:tblGrid>
      <w:tr w:rsidR="00BC4BB9">
        <w:trPr>
          <w:trHeight w:val="495"/>
        </w:trPr>
        <w:tc>
          <w:tcPr>
            <w:tcW w:w="6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4BB9" w:rsidRPr="00C23C74" w:rsidRDefault="00774F6B">
            <w:pPr>
              <w:rPr>
                <w:rFonts w:ascii="Garamond" w:hAnsi="Garamond" w:cs="Calibri"/>
                <w:b/>
                <w:bCs/>
              </w:rPr>
            </w:pPr>
            <w:r w:rsidRPr="00C23C74">
              <w:rPr>
                <w:rFonts w:ascii="Garamond" w:hAnsi="Garamond" w:cs="Calibri"/>
                <w:b/>
                <w:bCs/>
              </w:rPr>
              <w:t>Data e luogo del controllo:</w:t>
            </w: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4BB9" w:rsidRPr="00C23C74" w:rsidRDefault="00B33824">
            <w:pPr>
              <w:jc w:val="center"/>
            </w:pPr>
            <w:r>
              <w:rPr>
                <w:rFonts w:ascii="Garamond" w:hAnsi="Garamond" w:cs="Calibri"/>
                <w:color w:val="000000"/>
              </w:rPr>
              <w:t>01</w:t>
            </w:r>
            <w:r w:rsidR="00774F6B" w:rsidRPr="00C23C74">
              <w:rPr>
                <w:rFonts w:ascii="Garamond" w:hAnsi="Garamond" w:cs="Calibri"/>
              </w:rPr>
              <w:t>/0</w:t>
            </w:r>
            <w:r>
              <w:rPr>
                <w:rFonts w:ascii="Garamond" w:hAnsi="Garamond" w:cs="Calibri"/>
              </w:rPr>
              <w:t>7</w:t>
            </w:r>
            <w:r w:rsidR="00774F6B" w:rsidRPr="00C23C74">
              <w:rPr>
                <w:rFonts w:ascii="Garamond" w:hAnsi="Garamond" w:cs="Calibri"/>
              </w:rPr>
              <w:t>/202</w:t>
            </w:r>
            <w:r w:rsidR="00C23C74">
              <w:rPr>
                <w:rFonts w:ascii="Garamond" w:hAnsi="Garamond" w:cs="Calibri"/>
              </w:rPr>
              <w:t>4</w:t>
            </w:r>
            <w:r w:rsidR="00774F6B" w:rsidRPr="00C23C74">
              <w:rPr>
                <w:rFonts w:ascii="Garamond" w:hAnsi="Garamond" w:cs="Calibri"/>
              </w:rPr>
              <w:t>, Parma</w:t>
            </w:r>
          </w:p>
        </w:tc>
      </w:tr>
      <w:tr w:rsidR="00BC4BB9">
        <w:trPr>
          <w:trHeight w:val="620"/>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BC4BB9" w:rsidRDefault="00774F6B">
            <w:pPr>
              <w:rPr>
                <w:rFonts w:ascii="Garamond" w:hAnsi="Garamond" w:cs="Calibri"/>
                <w:b/>
              </w:rPr>
            </w:pPr>
            <w:r>
              <w:rPr>
                <w:rFonts w:ascii="Garamond" w:hAnsi="Garamond" w:cs="Calibri"/>
                <w:b/>
              </w:rPr>
              <w:t>Incaricato del controllo: Ing. Paola Cassinelli - Firma</w:t>
            </w:r>
          </w:p>
        </w:tc>
      </w:tr>
      <w:tr w:rsidR="00BC4BB9">
        <w:trPr>
          <w:trHeight w:val="558"/>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BC4BB9" w:rsidRDefault="00774F6B">
            <w:pPr>
              <w:rPr>
                <w:rFonts w:ascii="Garamond" w:hAnsi="Garamond" w:cs="Calibri"/>
                <w:b/>
              </w:rPr>
            </w:pPr>
            <w:r>
              <w:rPr>
                <w:rFonts w:ascii="Garamond" w:hAnsi="Garamond" w:cs="Calibri"/>
                <w:b/>
              </w:rPr>
              <w:t>Responsabile del controllo: Ing. Paola Cassinelli - Firma</w:t>
            </w:r>
          </w:p>
        </w:tc>
      </w:tr>
    </w:tbl>
    <w:p w:rsidR="00BC4BB9" w:rsidRDefault="00BC4BB9">
      <w:pPr>
        <w:rPr>
          <w:rFonts w:ascii="Garamond" w:hAnsi="Garamond"/>
        </w:rPr>
      </w:pPr>
    </w:p>
    <w:p w:rsidR="00BC4BB9" w:rsidRDefault="00BC4BB9">
      <w:pPr>
        <w:rPr>
          <w:rFonts w:ascii="Garamond" w:hAnsi="Garamond"/>
        </w:rPr>
      </w:pPr>
    </w:p>
    <w:p w:rsidR="00BC4BB9" w:rsidRDefault="00BC4BB9">
      <w:pPr>
        <w:rPr>
          <w:rFonts w:ascii="Garamond" w:hAnsi="Garamond"/>
        </w:rPr>
      </w:pPr>
    </w:p>
    <w:p w:rsidR="00BC4BB9" w:rsidRDefault="00BC4BB9"/>
    <w:p w:rsidR="00BC4BB9" w:rsidRDefault="00BC4BB9">
      <w:pPr>
        <w:rPr>
          <w:rFonts w:ascii="Garamond" w:hAnsi="Garamond"/>
        </w:rPr>
      </w:pPr>
    </w:p>
    <w:sectPr w:rsidR="00BC4BB9">
      <w:headerReference w:type="default" r:id="rId11"/>
      <w:footerReference w:type="default" r:id="rId12"/>
      <w:pgSz w:w="16838" w:h="11906" w:orient="landscape"/>
      <w:pgMar w:top="1134" w:right="1417"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2C8" w:rsidRDefault="001532C8">
      <w:pPr>
        <w:spacing w:after="0" w:line="240" w:lineRule="auto"/>
      </w:pPr>
      <w:r>
        <w:separator/>
      </w:r>
    </w:p>
  </w:endnote>
  <w:endnote w:type="continuationSeparator" w:id="0">
    <w:p w:rsidR="001532C8" w:rsidRDefault="00153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B38" w:rsidRDefault="002E0B38">
    <w:pPr>
      <w:pStyle w:val="Pidipagina"/>
      <w:jc w:val="right"/>
      <w:rPr>
        <w:rFonts w:ascii="Garamond" w:hAnsi="Garamond"/>
        <w:sz w:val="20"/>
        <w:szCs w:val="20"/>
      </w:rPr>
    </w:pPr>
    <w:r>
      <w:rPr>
        <w:rFonts w:ascii="Garamond" w:hAnsi="Garamond"/>
        <w:sz w:val="20"/>
        <w:szCs w:val="20"/>
      </w:rPr>
      <w:fldChar w:fldCharType="begin"/>
    </w:r>
    <w:r>
      <w:rPr>
        <w:rFonts w:ascii="Garamond" w:hAnsi="Garamond"/>
        <w:sz w:val="20"/>
        <w:szCs w:val="20"/>
      </w:rPr>
      <w:instrText>PAGE</w:instrText>
    </w:r>
    <w:r>
      <w:rPr>
        <w:rFonts w:ascii="Garamond" w:hAnsi="Garamond"/>
        <w:sz w:val="20"/>
        <w:szCs w:val="20"/>
      </w:rPr>
      <w:fldChar w:fldCharType="separate"/>
    </w:r>
    <w:r>
      <w:rPr>
        <w:rFonts w:ascii="Garamond" w:hAnsi="Garamond"/>
        <w:sz w:val="20"/>
        <w:szCs w:val="20"/>
      </w:rPr>
      <w:t>5</w:t>
    </w:r>
    <w:r>
      <w:rPr>
        <w:rFonts w:ascii="Garamond" w:hAnsi="Garamond"/>
        <w:sz w:val="20"/>
        <w:szCs w:val="20"/>
      </w:rPr>
      <w:fldChar w:fldCharType="end"/>
    </w:r>
  </w:p>
  <w:p w:rsidR="002E0B38" w:rsidRDefault="002E0B3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2C8" w:rsidRDefault="001532C8">
      <w:pPr>
        <w:spacing w:after="0" w:line="240" w:lineRule="auto"/>
      </w:pPr>
      <w:r>
        <w:separator/>
      </w:r>
    </w:p>
  </w:footnote>
  <w:footnote w:type="continuationSeparator" w:id="0">
    <w:p w:rsidR="001532C8" w:rsidRDefault="00153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B38" w:rsidRDefault="002E0B38">
    <w:pPr>
      <w:pStyle w:val="Intestazione"/>
      <w:jc w:val="center"/>
    </w:pPr>
    <w:r>
      <w:rPr>
        <w:noProof/>
      </w:rPr>
      <w:drawing>
        <wp:inline distT="0" distB="0" distL="0" distR="0">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ps\nuvec-s1\Linea-C\Lc_TFES\8_ATTIVITA\04. Pnrr\Rendicontazione ReGis\230221_LG regis\230413_Linee guida\PNG\FUTURA_INLINEA.png"/>
                  <pic:cNvPicPr>
                    <a:picLocks noChangeAspect="1" noChangeArrowheads="1"/>
                  </pic:cNvPicPr>
                </pic:nvPicPr>
                <pic:blipFill>
                  <a:blip r:embed="rId1"/>
                  <a:stretch>
                    <a:fillRect/>
                  </a:stretch>
                </pic:blipFill>
                <pic:spPr bwMode="auto">
                  <a:xfrm>
                    <a:off x="0" y="0"/>
                    <a:ext cx="8528685" cy="352425"/>
                  </a:xfrm>
                  <a:prstGeom prst="rect">
                    <a:avLst/>
                  </a:prstGeom>
                </pic:spPr>
              </pic:pic>
            </a:graphicData>
          </a:graphic>
        </wp:inline>
      </w:drawing>
    </w:r>
  </w:p>
  <w:p w:rsidR="002E0B38" w:rsidRDefault="002E0B3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222A"/>
    <w:multiLevelType w:val="multilevel"/>
    <w:tmpl w:val="9D240B6E"/>
    <w:lvl w:ilvl="0">
      <w:start w:val="3"/>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6566A1"/>
    <w:multiLevelType w:val="multilevel"/>
    <w:tmpl w:val="D6B67F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B578FA"/>
    <w:multiLevelType w:val="multilevel"/>
    <w:tmpl w:val="CFEE8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032CBC"/>
    <w:multiLevelType w:val="multilevel"/>
    <w:tmpl w:val="BA12B7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4F5DAF"/>
    <w:multiLevelType w:val="multilevel"/>
    <w:tmpl w:val="95182C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A50C45"/>
    <w:multiLevelType w:val="multilevel"/>
    <w:tmpl w:val="E9AE6A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58F0AE9"/>
    <w:multiLevelType w:val="multilevel"/>
    <w:tmpl w:val="72C46D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473C47"/>
    <w:multiLevelType w:val="multilevel"/>
    <w:tmpl w:val="66AE89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773917"/>
    <w:multiLevelType w:val="multilevel"/>
    <w:tmpl w:val="B622A8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2"/>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9"/>
    <w:rsid w:val="000337D6"/>
    <w:rsid w:val="0007201B"/>
    <w:rsid w:val="0010311C"/>
    <w:rsid w:val="001532C8"/>
    <w:rsid w:val="00176836"/>
    <w:rsid w:val="00180822"/>
    <w:rsid w:val="002B7D8F"/>
    <w:rsid w:val="002E0B38"/>
    <w:rsid w:val="002E3098"/>
    <w:rsid w:val="003F5AA7"/>
    <w:rsid w:val="00406E28"/>
    <w:rsid w:val="00446309"/>
    <w:rsid w:val="006A3F86"/>
    <w:rsid w:val="00774F6B"/>
    <w:rsid w:val="007768AA"/>
    <w:rsid w:val="009F559C"/>
    <w:rsid w:val="00A742FA"/>
    <w:rsid w:val="00B33824"/>
    <w:rsid w:val="00B75418"/>
    <w:rsid w:val="00BC25C5"/>
    <w:rsid w:val="00BC4BB9"/>
    <w:rsid w:val="00BE1F6C"/>
    <w:rsid w:val="00C23C74"/>
    <w:rsid w:val="00E00CAB"/>
    <w:rsid w:val="00E24DB5"/>
    <w:rsid w:val="00E9564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74FB"/>
  <w15:docId w15:val="{79518BF9-9D5F-4DFC-9ED4-CECA4C2A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65D"/>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B082A"/>
  </w:style>
  <w:style w:type="character" w:customStyle="1" w:styleId="PidipaginaCarattere">
    <w:name w:val="Piè di pagina Carattere"/>
    <w:basedOn w:val="Carpredefinitoparagrafo"/>
    <w:link w:val="Pidipagina"/>
    <w:uiPriority w:val="99"/>
    <w:qFormat/>
    <w:rsid w:val="00BB082A"/>
  </w:style>
  <w:style w:type="character" w:customStyle="1" w:styleId="TestofumettoCarattere">
    <w:name w:val="Testo fumetto Carattere"/>
    <w:basedOn w:val="Carpredefinitoparagrafo"/>
    <w:link w:val="Testofumetto"/>
    <w:uiPriority w:val="99"/>
    <w:semiHidden/>
    <w:qFormat/>
    <w:rsid w:val="00BB082A"/>
    <w:rPr>
      <w:rFonts w:ascii="Segoe UI" w:hAnsi="Segoe UI" w:cs="Segoe UI"/>
      <w:sz w:val="18"/>
      <w:szCs w:val="18"/>
    </w:rPr>
  </w:style>
  <w:style w:type="character" w:customStyle="1" w:styleId="ParagrafoelencoCarattere">
    <w:name w:val="Paragrafo elenco Carattere"/>
    <w:link w:val="Paragrafoelenco"/>
    <w:uiPriority w:val="34"/>
    <w:qFormat/>
    <w:locked/>
    <w:rsid w:val="00257A47"/>
  </w:style>
  <w:style w:type="character" w:styleId="Rimandocommento">
    <w:name w:val="annotation reference"/>
    <w:basedOn w:val="Carpredefinitoparagrafo"/>
    <w:uiPriority w:val="99"/>
    <w:semiHidden/>
    <w:unhideWhenUsed/>
    <w:qFormat/>
    <w:rsid w:val="00154096"/>
    <w:rPr>
      <w:sz w:val="16"/>
      <w:szCs w:val="16"/>
    </w:rPr>
  </w:style>
  <w:style w:type="character" w:customStyle="1" w:styleId="TestocommentoCarattere">
    <w:name w:val="Testo commento Carattere"/>
    <w:basedOn w:val="Carpredefinitoparagrafo"/>
    <w:link w:val="Testocommento"/>
    <w:uiPriority w:val="99"/>
    <w:semiHidden/>
    <w:qFormat/>
    <w:rsid w:val="00154096"/>
    <w:rPr>
      <w:sz w:val="20"/>
      <w:szCs w:val="20"/>
    </w:rPr>
  </w:style>
  <w:style w:type="character" w:customStyle="1" w:styleId="SoggettocommentoCarattere">
    <w:name w:val="Soggetto commento Carattere"/>
    <w:basedOn w:val="TestocommentoCarattere"/>
    <w:link w:val="Soggettocommento"/>
    <w:uiPriority w:val="99"/>
    <w:semiHidden/>
    <w:qFormat/>
    <w:rsid w:val="00154096"/>
    <w:rPr>
      <w:b/>
      <w:bCs/>
      <w:sz w:val="20"/>
      <w:szCs w:val="20"/>
    </w:rPr>
  </w:style>
  <w:style w:type="character" w:customStyle="1" w:styleId="Corpodeltesto2Carattere">
    <w:name w:val="Corpo del testo 2 Carattere"/>
    <w:basedOn w:val="Carpredefinitoparagrafo"/>
    <w:link w:val="Corpodeltesto2"/>
    <w:uiPriority w:val="99"/>
    <w:qFormat/>
    <w:rsid w:val="00371A70"/>
    <w:rPr>
      <w:rFonts w:ascii="Tahoma" w:eastAsia="Times New Roman" w:hAnsi="Tahoma" w:cs="Tahoma"/>
      <w:sz w:val="20"/>
      <w:szCs w:val="24"/>
      <w:lang w:eastAsia="it-IT"/>
    </w:rPr>
  </w:style>
  <w:style w:type="character" w:customStyle="1" w:styleId="TestonotaapidipaginaCarattere">
    <w:name w:val="Testo nota a piè di pagina Carattere"/>
    <w:basedOn w:val="Carpredefinitoparagrafo"/>
    <w:link w:val="Testonotaapidipagina"/>
    <w:uiPriority w:val="99"/>
    <w:semiHidden/>
    <w:qFormat/>
    <w:rsid w:val="002A5B0D"/>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2A5B0D"/>
    <w:rPr>
      <w:vertAlign w:val="superscrip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BB082A"/>
    <w:pPr>
      <w:spacing w:after="0" w:line="240" w:lineRule="auto"/>
    </w:pPr>
    <w:rPr>
      <w:rFonts w:ascii="Segoe UI" w:hAnsi="Segoe UI" w:cs="Segoe UI"/>
      <w:sz w:val="18"/>
      <w:szCs w:val="18"/>
    </w:rPr>
  </w:style>
  <w:style w:type="paragraph" w:styleId="Paragrafoelenco">
    <w:name w:val="List Paragraph"/>
    <w:basedOn w:val="Normale"/>
    <w:link w:val="ParagrafoelencoCarattere"/>
    <w:uiPriority w:val="34"/>
    <w:qFormat/>
    <w:rsid w:val="007E407A"/>
    <w:pPr>
      <w:ind w:left="720"/>
      <w:contextualSpacing/>
    </w:pPr>
  </w:style>
  <w:style w:type="paragraph" w:styleId="Testocommento">
    <w:name w:val="annotation text"/>
    <w:basedOn w:val="Normale"/>
    <w:link w:val="TestocommentoCarattere"/>
    <w:uiPriority w:val="99"/>
    <w:semiHidden/>
    <w:unhideWhenUsed/>
    <w:qFormat/>
    <w:rsid w:val="00154096"/>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154096"/>
    <w:rPr>
      <w:b/>
      <w:bCs/>
    </w:rPr>
  </w:style>
  <w:style w:type="paragraph" w:styleId="Revisione">
    <w:name w:val="Revision"/>
    <w:uiPriority w:val="99"/>
    <w:semiHidden/>
    <w:qFormat/>
    <w:rsid w:val="00DC29C7"/>
    <w:rPr>
      <w:sz w:val="22"/>
    </w:rPr>
  </w:style>
  <w:style w:type="paragraph" w:styleId="Corpodeltesto2">
    <w:name w:val="Body Text 2"/>
    <w:basedOn w:val="Normale"/>
    <w:link w:val="Corpodeltesto2Carattere"/>
    <w:uiPriority w:val="99"/>
    <w:qFormat/>
    <w:rsid w:val="00371A70"/>
    <w:pPr>
      <w:spacing w:after="0" w:line="240" w:lineRule="auto"/>
    </w:pPr>
    <w:rPr>
      <w:rFonts w:ascii="Tahoma" w:eastAsia="Times New Roman" w:hAnsi="Tahoma" w:cs="Tahoma"/>
      <w:sz w:val="20"/>
      <w:szCs w:val="24"/>
      <w:lang w:eastAsia="it-IT"/>
    </w:r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0A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D8C498-B0F5-4264-8562-3F715184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4811</Words>
  <Characters>27425</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dc:description/>
  <cp:lastModifiedBy>Matteo Piovani</cp:lastModifiedBy>
  <cp:revision>3</cp:revision>
  <dcterms:created xsi:type="dcterms:W3CDTF">2024-11-07T09:40:00Z</dcterms:created>
  <dcterms:modified xsi:type="dcterms:W3CDTF">2024-11-07T09:42:00Z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0x01010091998AB98AF836469A0C0C3B039D22DF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