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w:t>
      </w:r>
      <w:r w:rsidR="00A35FED">
        <w:rPr>
          <w:rFonts w:ascii="Verdana" w:hAnsi="Verdana" w:cs="Verdana"/>
          <w:shd w:val="clear" w:color="auto" w:fill="FFFFFF"/>
        </w:rPr>
        <w:t>4</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182E4A" w:rsidRDefault="00EE60B8" w:rsidP="00AE1FA7">
      <w:pPr>
        <w:pStyle w:val="Standard"/>
        <w:tabs>
          <w:tab w:val="left" w:pos="5670"/>
        </w:tabs>
      </w:pPr>
      <w:r>
        <w:rPr>
          <w:rFonts w:ascii="Verdana" w:hAnsi="Verdana" w:cs="Verdana"/>
          <w:iCs/>
          <w:color w:val="000000"/>
          <w:spacing w:val="10"/>
          <w:kern w:val="2"/>
          <w:shd w:val="clear" w:color="auto" w:fill="FFFFFF"/>
        </w:rPr>
        <w:tab/>
      </w:r>
      <w:r w:rsidR="00AE5C8F" w:rsidRPr="00AE5C8F">
        <w:rPr>
          <w:sz w:val="18"/>
        </w:rPr>
        <w:t xml:space="preserve">I.F.CO. INGEGNERIA - </w:t>
      </w:r>
      <w:r w:rsidR="00AE5C8F" w:rsidRPr="00AE5C8F">
        <w:rPr>
          <w:sz w:val="22"/>
          <w:szCs w:val="24"/>
        </w:rPr>
        <w:t>ING. GIUSEPPE ICCARDI</w:t>
      </w:r>
    </w:p>
    <w:p w:rsidR="00182E4A" w:rsidRDefault="00182E4A" w:rsidP="00AE1FA7">
      <w:pPr>
        <w:pStyle w:val="Standard"/>
        <w:tabs>
          <w:tab w:val="left" w:pos="5670"/>
        </w:tabs>
      </w:pPr>
      <w:r>
        <w:tab/>
      </w:r>
      <w:r w:rsidR="003C38F1" w:rsidRPr="00C8774E">
        <w:t>Via Pedemontana Est, 21/B</w:t>
      </w:r>
    </w:p>
    <w:p w:rsidR="00182E4A" w:rsidRDefault="00182E4A" w:rsidP="00AE1FA7">
      <w:pPr>
        <w:pStyle w:val="Standard"/>
        <w:tabs>
          <w:tab w:val="left" w:pos="5670"/>
        </w:tabs>
        <w:rPr>
          <w:sz w:val="24"/>
          <w:szCs w:val="24"/>
        </w:rPr>
      </w:pPr>
      <w:r>
        <w:tab/>
      </w:r>
      <w:r w:rsidR="003C38F1" w:rsidRPr="00C8774E">
        <w:t>43029 Mamiano di Traversetolo (PR)</w:t>
      </w:r>
      <w:r w:rsidR="00AE1FA7">
        <w:rPr>
          <w:sz w:val="24"/>
          <w:szCs w:val="24"/>
        </w:rPr>
        <w:tab/>
      </w:r>
    </w:p>
    <w:p w:rsidR="00CB6B9D" w:rsidRDefault="00182E4A" w:rsidP="00AE1FA7">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r>
      <w:r w:rsidR="00EE60B8">
        <w:rPr>
          <w:rFonts w:ascii="Verdana" w:hAnsi="Verdana" w:cs="Verdana"/>
          <w:iCs/>
          <w:color w:val="000000"/>
          <w:spacing w:val="10"/>
          <w:kern w:val="2"/>
          <w:shd w:val="clear" w:color="auto" w:fill="FFFFFF"/>
        </w:rPr>
        <w:t xml:space="preserve">E-MAIL: </w:t>
      </w:r>
      <w:r w:rsidR="00AE5C8F">
        <w:rPr>
          <w:rFonts w:ascii="Verdana" w:hAnsi="Verdana" w:cs="Verdana"/>
          <w:iCs/>
          <w:color w:val="000000"/>
          <w:spacing w:val="10"/>
          <w:kern w:val="2"/>
          <w:shd w:val="clear" w:color="auto" w:fill="FFFFFF"/>
        </w:rPr>
        <w:t>giuseppe.iccardi@gmail.com</w:t>
      </w:r>
      <w:r w:rsidR="00AE5C8F">
        <w:rPr>
          <w:rFonts w:ascii="Verdana" w:hAnsi="Verdana" w:cs="Verdana"/>
          <w:iCs/>
          <w:color w:val="000000"/>
          <w:spacing w:val="10"/>
          <w:kern w:val="2"/>
          <w:shd w:val="clear" w:color="auto" w:fill="FFFFFF"/>
        </w:rPr>
        <w:tab/>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PEC: </w:t>
      </w:r>
      <w:r w:rsidR="00AE5C8F">
        <w:rPr>
          <w:rFonts w:ascii="Verdana" w:hAnsi="Verdana" w:cs="Verdana"/>
          <w:iCs/>
          <w:color w:val="000000"/>
          <w:spacing w:val="10"/>
          <w:kern w:val="2"/>
          <w:shd w:val="clear" w:color="auto" w:fill="FFFFFF"/>
        </w:rPr>
        <w:t>giuseppe.iccardi@ingpec.eu</w:t>
      </w:r>
      <w:r w:rsidR="00AE5C8F">
        <w:rPr>
          <w:rFonts w:ascii="Verdana" w:hAnsi="Verdana" w:cs="Verdana"/>
          <w:iCs/>
          <w:color w:val="000000"/>
          <w:spacing w:val="10"/>
          <w:kern w:val="2"/>
          <w:shd w:val="clear" w:color="auto" w:fill="FFFFFF"/>
        </w:rPr>
        <w:tab/>
      </w:r>
      <w:r w:rsidR="00AE5C8F">
        <w:rPr>
          <w:rFonts w:ascii="Verdana" w:hAnsi="Verdana" w:cs="Verdana"/>
          <w:iCs/>
          <w:color w:val="000000"/>
          <w:spacing w:val="10"/>
          <w:kern w:val="2"/>
          <w:shd w:val="clear" w:color="auto" w:fill="FFFFFF"/>
        </w:rPr>
        <w:tab/>
      </w:r>
    </w:p>
    <w:p w:rsidR="00CB6B9D" w:rsidRDefault="00EE60B8">
      <w:pPr>
        <w:pStyle w:val="Titolo1"/>
        <w:spacing w:after="567"/>
        <w:jc w:val="center"/>
      </w:pPr>
      <w:r>
        <w:t>LETTERA D’ORDINE</w:t>
      </w:r>
    </w:p>
    <w:p w:rsidR="00CB6B9D" w:rsidRDefault="00EE60B8" w:rsidP="00EB2B7B">
      <w:pPr>
        <w:pStyle w:val="provcorpotesto"/>
        <w:numPr>
          <w:ilvl w:val="0"/>
          <w:numId w:val="0"/>
        </w:numPr>
        <w:ind w:left="1440" w:hanging="1440"/>
        <w:rPr>
          <w:rFonts w:eastAsia="Times New Roman"/>
        </w:rPr>
      </w:pPr>
      <w:r>
        <w:rPr>
          <w:rFonts w:cs="Arial"/>
        </w:rPr>
        <w:t>Oggetto:</w:t>
      </w:r>
      <w:r>
        <w:rPr>
          <w:rFonts w:cs="Arial"/>
        </w:rPr>
        <w:tab/>
      </w:r>
      <w:r>
        <w:t xml:space="preserve">PROGETTO DI </w:t>
      </w:r>
      <w:r w:rsidR="003C38F1">
        <w:rPr>
          <w:rFonts w:ascii="Times New Roman" w:hAnsi="Times New Roman" w:cs="Times New Roman"/>
          <w:sz w:val="22"/>
          <w:szCs w:val="22"/>
        </w:rPr>
        <w:t>"</w:t>
      </w:r>
      <w:r w:rsidR="003C38F1" w:rsidRPr="00750240">
        <w:rPr>
          <w:rFonts w:ascii="Times New Roman" w:hAnsi="Times New Roman" w:cs="Times New Roman"/>
          <w:sz w:val="22"/>
          <w:szCs w:val="22"/>
        </w:rPr>
        <w:t>REALIZZAZIONE FOOD FARM 4.1 1° LOTTO</w:t>
      </w:r>
      <w:r w:rsidR="003C38F1">
        <w:rPr>
          <w:rFonts w:ascii="Times New Roman" w:hAnsi="Times New Roman" w:cs="Times New Roman"/>
          <w:sz w:val="22"/>
          <w:szCs w:val="22"/>
        </w:rPr>
        <w:t xml:space="preserve">". </w:t>
      </w:r>
      <w:r w:rsidR="008D5B4D" w:rsidRPr="008D5B4D">
        <w:rPr>
          <w:rFonts w:ascii="Times New Roman" w:hAnsi="Times New Roman" w:cs="Times New Roman"/>
          <w:sz w:val="22"/>
          <w:szCs w:val="22"/>
        </w:rPr>
        <w:t>INCARICO PROGETTAZIONE ESECUTIVA CON ADOZIONE METODOLOGIA BIM - (</w:t>
      </w:r>
      <w:proofErr w:type="gramStart"/>
      <w:r w:rsidR="008D5B4D" w:rsidRPr="008D5B4D">
        <w:rPr>
          <w:rFonts w:ascii="Times New Roman" w:hAnsi="Times New Roman" w:cs="Times New Roman"/>
          <w:sz w:val="22"/>
          <w:szCs w:val="22"/>
        </w:rPr>
        <w:t>PARTE  IMPIANTI</w:t>
      </w:r>
      <w:proofErr w:type="gramEnd"/>
      <w:r w:rsidR="008D5B4D" w:rsidRPr="008D5B4D">
        <w:rPr>
          <w:rFonts w:ascii="Times New Roman" w:hAnsi="Times New Roman" w:cs="Times New Roman"/>
          <w:sz w:val="22"/>
          <w:szCs w:val="22"/>
        </w:rPr>
        <w:t xml:space="preserve"> ELETTRICI) </w:t>
      </w:r>
      <w:r w:rsidR="003C38F1" w:rsidRPr="007C47D8">
        <w:rPr>
          <w:rFonts w:ascii="Times New Roman" w:hAnsi="Times New Roman" w:cs="Times New Roman"/>
          <w:sz w:val="22"/>
          <w:szCs w:val="22"/>
        </w:rPr>
        <w:t xml:space="preserve">- CUP D96F24000160003 - </w:t>
      </w:r>
      <w:r w:rsidR="003C38F1" w:rsidRPr="00EB2B7B">
        <w:rPr>
          <w:rFonts w:ascii="Times New Roman" w:hAnsi="Times New Roman" w:cs="Times New Roman"/>
          <w:sz w:val="22"/>
          <w:szCs w:val="22"/>
        </w:rPr>
        <w:t xml:space="preserve">CIG </w:t>
      </w:r>
      <w:r w:rsidR="008D5B4D" w:rsidRPr="00F35822">
        <w:rPr>
          <w:rFonts w:ascii="Times New Roman" w:hAnsi="Times New Roman" w:cs="Times New Roman"/>
          <w:sz w:val="22"/>
          <w:szCs w:val="22"/>
        </w:rPr>
        <w:t>B4C71248DD</w:t>
      </w: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w:t>
      </w:r>
      <w:r>
        <w:lastRenderedPageBreak/>
        <w:t>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rPr>
          <w:rFonts w:ascii="Times New Roman" w:hAnsi="Times New Roman" w:cs="Times New Roman"/>
        </w:rPr>
      </w:pPr>
      <w:r>
        <w:rPr>
          <w:b/>
          <w:bCs/>
          <w:color w:val="000000"/>
          <w:spacing w:val="10"/>
          <w:kern w:val="2"/>
          <w:shd w:val="clear" w:color="auto" w:fill="FFFFFF"/>
        </w:rPr>
        <w:t>Professionisti incaricati:</w:t>
      </w:r>
      <w:r>
        <w:rPr>
          <w:color w:val="000000"/>
          <w:spacing w:val="10"/>
          <w:kern w:val="2"/>
          <w:shd w:val="clear" w:color="auto" w:fill="FFFFFF"/>
        </w:rPr>
        <w:t xml:space="preserve"> </w:t>
      </w:r>
      <w:r w:rsidR="00AE5C8F" w:rsidRPr="00692EBD">
        <w:rPr>
          <w:rFonts w:ascii="Times New Roman" w:hAnsi="Times New Roman" w:cs="Times New Roman"/>
          <w:sz w:val="24"/>
          <w:szCs w:val="24"/>
        </w:rPr>
        <w:t xml:space="preserve">Ing. Giuseppe </w:t>
      </w:r>
      <w:proofErr w:type="spellStart"/>
      <w:r w:rsidR="00AE5C8F" w:rsidRPr="00692EBD">
        <w:rPr>
          <w:rFonts w:ascii="Times New Roman" w:hAnsi="Times New Roman" w:cs="Times New Roman"/>
          <w:sz w:val="24"/>
          <w:szCs w:val="24"/>
        </w:rPr>
        <w:t>Iccardi</w:t>
      </w:r>
      <w:proofErr w:type="spellEnd"/>
      <w:r w:rsidR="00AE5C8F" w:rsidRPr="00692EBD">
        <w:rPr>
          <w:rFonts w:ascii="Times New Roman" w:hAnsi="Times New Roman" w:cs="Times New Roman"/>
          <w:sz w:val="24"/>
          <w:szCs w:val="24"/>
        </w:rPr>
        <w:t xml:space="preserve"> – I.F.CO. Ingegneria</w:t>
      </w:r>
      <w:r w:rsidR="00AE5C8F">
        <w:rPr>
          <w:rFonts w:ascii="Times New Roman" w:hAnsi="Times New Roman" w:cs="Times New Roman"/>
          <w:sz w:val="24"/>
          <w:szCs w:val="24"/>
        </w:rPr>
        <w:t xml:space="preserve"> </w:t>
      </w:r>
      <w:r w:rsidR="00AE5C8F" w:rsidRPr="00654E6D">
        <w:rPr>
          <w:rFonts w:ascii="Times New Roman" w:hAnsi="Times New Roman" w:cs="Times New Roman"/>
          <w:sz w:val="24"/>
          <w:szCs w:val="24"/>
        </w:rPr>
        <w:t xml:space="preserve">con sede in </w:t>
      </w:r>
      <w:r w:rsidR="00AE5C8F" w:rsidRPr="00692EBD">
        <w:rPr>
          <w:rFonts w:ascii="Times New Roman" w:hAnsi="Times New Roman" w:cs="Times New Roman"/>
          <w:sz w:val="24"/>
          <w:szCs w:val="24"/>
        </w:rPr>
        <w:t>Via Pedemontana Est, 21/B - 43029 Mamiano di Traversetolo (PR)</w:t>
      </w:r>
      <w:r w:rsidR="00AE5C8F">
        <w:rPr>
          <w:rFonts w:ascii="Times New Roman" w:hAnsi="Times New Roman" w:cs="Times New Roman"/>
          <w:sz w:val="24"/>
          <w:szCs w:val="24"/>
        </w:rPr>
        <w:t xml:space="preserve"> </w:t>
      </w:r>
      <w:r w:rsidR="00AE5C8F" w:rsidRPr="00654E6D">
        <w:rPr>
          <w:rFonts w:ascii="Times New Roman" w:hAnsi="Times New Roman" w:cs="Times New Roman"/>
          <w:sz w:val="24"/>
          <w:szCs w:val="24"/>
        </w:rPr>
        <w:t xml:space="preserve">P.IVA </w:t>
      </w:r>
      <w:r w:rsidR="00AE5C8F" w:rsidRPr="00692EBD">
        <w:rPr>
          <w:rFonts w:ascii="Times New Roman" w:hAnsi="Times New Roman" w:cs="Times New Roman"/>
          <w:sz w:val="24"/>
          <w:szCs w:val="24"/>
        </w:rPr>
        <w:t>01879600342</w:t>
      </w:r>
    </w:p>
    <w:p w:rsidR="003C38F1" w:rsidRDefault="003C38F1">
      <w:pPr>
        <w:pStyle w:val="Corpodeltesto21"/>
      </w:pPr>
    </w:p>
    <w:p w:rsidR="00CB6B9D" w:rsidRDefault="00EE60B8">
      <w:pPr>
        <w:pStyle w:val="Corpodeltesto21"/>
        <w:rPr>
          <w:rFonts w:ascii="Times New Roman" w:hAnsi="Times New Roman" w:cs="Times New Roman"/>
          <w:sz w:val="22"/>
          <w:szCs w:val="22"/>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3C38F1" w:rsidRPr="00654E6D">
        <w:rPr>
          <w:rFonts w:ascii="Times New Roman" w:eastAsia="Times New Roman" w:hAnsi="Times New Roman" w:cs="Times New Roman"/>
          <w:lang w:eastAsia="it-IT"/>
        </w:rPr>
        <w:t xml:space="preserve">- </w:t>
      </w:r>
      <w:r w:rsidR="008D5B4D" w:rsidRPr="008D5B4D">
        <w:rPr>
          <w:rFonts w:ascii="Times New Roman" w:hAnsi="Times New Roman" w:cs="Times New Roman"/>
          <w:sz w:val="22"/>
          <w:szCs w:val="22"/>
        </w:rPr>
        <w:t>INCARICO PROGETTAZIONE ESECUTIVA CON ADOZIONE METODOLOGIA BIM - (</w:t>
      </w:r>
      <w:proofErr w:type="gramStart"/>
      <w:r w:rsidR="008D5B4D" w:rsidRPr="008D5B4D">
        <w:rPr>
          <w:rFonts w:ascii="Times New Roman" w:hAnsi="Times New Roman" w:cs="Times New Roman"/>
          <w:sz w:val="22"/>
          <w:szCs w:val="22"/>
        </w:rPr>
        <w:t>PARTE  IMPIANTI</w:t>
      </w:r>
      <w:proofErr w:type="gramEnd"/>
      <w:r w:rsidR="008D5B4D" w:rsidRPr="008D5B4D">
        <w:rPr>
          <w:rFonts w:ascii="Times New Roman" w:hAnsi="Times New Roman" w:cs="Times New Roman"/>
          <w:sz w:val="22"/>
          <w:szCs w:val="22"/>
        </w:rPr>
        <w:t xml:space="preserve"> ELETTRICI) - CUP D96F24000160003 - CIG B4C71248DD</w:t>
      </w:r>
    </w:p>
    <w:p w:rsidR="008D5B4D" w:rsidRDefault="008D5B4D">
      <w:pPr>
        <w:pStyle w:val="Corpodeltesto21"/>
      </w:pPr>
    </w:p>
    <w:p w:rsidR="00CB6B9D" w:rsidRDefault="00EE60B8">
      <w:pPr>
        <w:pStyle w:val="Corpodeltesto21"/>
      </w:pPr>
      <w:r>
        <w:t>L’incarico prevede principalmente le seguenti caratteristiche:</w:t>
      </w:r>
    </w:p>
    <w:p w:rsidR="008D5B4D" w:rsidRPr="008D5B4D" w:rsidRDefault="008D5B4D" w:rsidP="008D5B4D">
      <w:pPr>
        <w:pStyle w:val="Corpodeltesto21"/>
        <w:rPr>
          <w:i/>
        </w:rPr>
      </w:pPr>
      <w:r w:rsidRPr="008D5B4D">
        <w:rPr>
          <w:i/>
        </w:rPr>
        <w:t>Progettazione ESECUTIVA (parte IMPIANTI ELETTRICI) con adozione metodologia BIM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rsidR="008D5B4D" w:rsidRPr="008D5B4D" w:rsidRDefault="008D5B4D" w:rsidP="008D5B4D">
      <w:pPr>
        <w:pStyle w:val="Corpodeltesto21"/>
        <w:rPr>
          <w:i/>
        </w:rPr>
      </w:pPr>
      <w:r w:rsidRPr="008D5B4D">
        <w:rPr>
          <w:i/>
        </w:rPr>
        <w:t>"QbIII.01: Relazione generale e specialistiche, Elaborati grafici, Calcoli esecutivi (art.33, comma 1, lettere a), b), c), d</w:t>
      </w:r>
      <w:proofErr w:type="gramStart"/>
      <w:r w:rsidRPr="008D5B4D">
        <w:rPr>
          <w:i/>
        </w:rPr>
        <w:t>),</w:t>
      </w:r>
      <w:proofErr w:type="spellStart"/>
      <w:r w:rsidRPr="008D5B4D">
        <w:rPr>
          <w:i/>
        </w:rPr>
        <w:t>d.P.R.</w:t>
      </w:r>
      <w:proofErr w:type="spellEnd"/>
      <w:proofErr w:type="gramEnd"/>
      <w:r w:rsidRPr="008D5B4D">
        <w:rPr>
          <w:i/>
        </w:rPr>
        <w:t xml:space="preserve"> 207/10)"</w:t>
      </w:r>
    </w:p>
    <w:p w:rsidR="008D5B4D" w:rsidRPr="008D5B4D" w:rsidRDefault="008D5B4D" w:rsidP="008D5B4D">
      <w:pPr>
        <w:pStyle w:val="Corpodeltesto21"/>
        <w:rPr>
          <w:i/>
        </w:rPr>
      </w:pPr>
      <w:r w:rsidRPr="008D5B4D">
        <w:rPr>
          <w:i/>
        </w:rPr>
        <w:t xml:space="preserve">QbIII.02: Particolari costruttivi e decorativi (art.36, comma 1, lettera c), </w:t>
      </w:r>
      <w:proofErr w:type="spellStart"/>
      <w:r w:rsidRPr="008D5B4D">
        <w:rPr>
          <w:i/>
        </w:rPr>
        <w:t>d.P.R.</w:t>
      </w:r>
      <w:proofErr w:type="spellEnd"/>
      <w:r w:rsidRPr="008D5B4D">
        <w:rPr>
          <w:i/>
        </w:rPr>
        <w:t xml:space="preserve"> 207/10)</w:t>
      </w:r>
      <w:bookmarkStart w:id="0" w:name="_GoBack"/>
      <w:bookmarkEnd w:id="0"/>
    </w:p>
    <w:p w:rsidR="008D5B4D" w:rsidRPr="008D5B4D" w:rsidRDefault="008D5B4D" w:rsidP="008D5B4D">
      <w:pPr>
        <w:pStyle w:val="Corpodeltesto21"/>
        <w:rPr>
          <w:i/>
        </w:rPr>
      </w:pPr>
      <w:r w:rsidRPr="008D5B4D">
        <w:rPr>
          <w:i/>
        </w:rPr>
        <w:t xml:space="preserve">QbIII.03: Computo metrico estimativo, Quadro economico, Elenco prezzi e eventuale analisi, Quadro dell'incidenza percentuale della quantità di manodopera (art.33, comma 1, lettere f), g), i), </w:t>
      </w:r>
      <w:proofErr w:type="spellStart"/>
      <w:r w:rsidRPr="008D5B4D">
        <w:rPr>
          <w:i/>
        </w:rPr>
        <w:t>d.P.R.</w:t>
      </w:r>
      <w:proofErr w:type="spellEnd"/>
      <w:r w:rsidRPr="008D5B4D">
        <w:rPr>
          <w:i/>
        </w:rPr>
        <w:t xml:space="preserve"> 207/10)</w:t>
      </w:r>
    </w:p>
    <w:p w:rsidR="008D5B4D" w:rsidRPr="008D5B4D" w:rsidRDefault="008D5B4D" w:rsidP="008D5B4D">
      <w:pPr>
        <w:pStyle w:val="Corpodeltesto21"/>
        <w:rPr>
          <w:i/>
        </w:rPr>
      </w:pPr>
      <w:r w:rsidRPr="008D5B4D">
        <w:rPr>
          <w:i/>
        </w:rPr>
        <w:t xml:space="preserve">QbIII.04: Schema di contratto, capitolato speciale d'appalto, cronoprogramma (art.33, comma 1, lettere l), h), </w:t>
      </w:r>
      <w:proofErr w:type="spellStart"/>
      <w:r w:rsidRPr="008D5B4D">
        <w:rPr>
          <w:i/>
        </w:rPr>
        <w:t>d.P.R.</w:t>
      </w:r>
      <w:proofErr w:type="spellEnd"/>
      <w:r w:rsidRPr="008D5B4D">
        <w:rPr>
          <w:i/>
        </w:rPr>
        <w:t xml:space="preserve"> 207/10)</w:t>
      </w:r>
    </w:p>
    <w:p w:rsidR="003C38F1" w:rsidRDefault="008D5B4D" w:rsidP="008D5B4D">
      <w:pPr>
        <w:pStyle w:val="Corpodeltesto21"/>
        <w:rPr>
          <w:i/>
        </w:rPr>
      </w:pPr>
      <w:r w:rsidRPr="008D5B4D">
        <w:rPr>
          <w:i/>
        </w:rPr>
        <w:t xml:space="preserve">QbIII.05: Piano di manutenzione dell'opera (art.33, comma 1, lettera e) </w:t>
      </w:r>
      <w:proofErr w:type="spellStart"/>
      <w:r w:rsidRPr="008D5B4D">
        <w:rPr>
          <w:i/>
        </w:rPr>
        <w:t>d.P.R.</w:t>
      </w:r>
      <w:proofErr w:type="spellEnd"/>
      <w:r w:rsidRPr="008D5B4D">
        <w:rPr>
          <w:i/>
        </w:rPr>
        <w:t xml:space="preserve"> 207/10)</w:t>
      </w:r>
    </w:p>
    <w:p w:rsidR="008D5B4D" w:rsidRDefault="008D5B4D" w:rsidP="008D5B4D">
      <w:pPr>
        <w:pStyle w:val="Corpodeltesto21"/>
        <w:rPr>
          <w:i/>
        </w:rPr>
      </w:pPr>
    </w:p>
    <w:p w:rsidR="007346CF" w:rsidRPr="00F5047B" w:rsidRDefault="007346CF" w:rsidP="007346CF">
      <w:pPr>
        <w:pStyle w:val="Corpodeltesto21"/>
      </w:pPr>
      <w:r w:rsidRPr="00F5047B">
        <w:t>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di sua fiducia, gli oneri derivanti da queste collaborazioni saranno a suo carico.</w:t>
      </w:r>
    </w:p>
    <w:p w:rsidR="007346CF" w:rsidRPr="003C38F1" w:rsidRDefault="007346CF" w:rsidP="003C38F1">
      <w:pPr>
        <w:pStyle w:val="Corpodeltesto21"/>
        <w:rPr>
          <w:i/>
        </w:rPr>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lastRenderedPageBreak/>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AE6ADC" w:rsidRPr="00AE6ADC">
        <w:rPr>
          <w:b/>
        </w:rPr>
        <w:t>6</w:t>
      </w:r>
      <w:r w:rsidRPr="00AE6ADC">
        <w:rPr>
          <w:b/>
        </w:rPr>
        <w:t>0 giorni</w:t>
      </w:r>
      <w:r>
        <w:rPr>
          <w:b/>
        </w:rPr>
        <w:t xml:space="preserve"> naturali e consecutivi</w:t>
      </w:r>
      <w:r>
        <w:t xml:space="preserve"> dalla data di sottoscrizione del presente disciplinare.</w:t>
      </w:r>
    </w:p>
    <w:p w:rsidR="00CB6B9D" w:rsidRDefault="00CB6B9D">
      <w:pPr>
        <w:pStyle w:val="Corpodeltesto21"/>
      </w:pPr>
    </w:p>
    <w:p w:rsidR="00CB6B9D" w:rsidRDefault="00EE60B8">
      <w:pPr>
        <w:pStyle w:val="Corpodeltesto21"/>
      </w:pPr>
      <w:r>
        <w:t>Rimane facoltà del Responsabile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3C38F1" w:rsidRPr="003C38F1" w:rsidRDefault="00EE60B8" w:rsidP="003C38F1">
      <w:pPr>
        <w:pStyle w:val="Corpodeltesto21"/>
        <w:rPr>
          <w:color w:val="000000"/>
          <w:shd w:val="clear" w:color="auto" w:fill="FFFFFF"/>
        </w:rPr>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w:t>
      </w:r>
      <w:proofErr w:type="spellStart"/>
      <w:r>
        <w:rPr>
          <w:color w:val="000000"/>
          <w:shd w:val="clear" w:color="auto" w:fill="FFFFFF"/>
        </w:rPr>
        <w:t>ad</w:t>
      </w:r>
      <w:proofErr w:type="spellEnd"/>
      <w:r>
        <w:rPr>
          <w:color w:val="000000"/>
          <w:shd w:val="clear" w:color="auto" w:fill="FFFFFF"/>
        </w:rPr>
        <w:t xml:space="preserve"> </w:t>
      </w:r>
      <w:r w:rsidR="003C38F1" w:rsidRPr="003C38F1">
        <w:rPr>
          <w:color w:val="000000"/>
          <w:shd w:val="clear" w:color="auto" w:fill="FFFFFF"/>
        </w:rPr>
        <w:t xml:space="preserve"> </w:t>
      </w:r>
      <w:r w:rsidR="008D5B4D" w:rsidRPr="008D5B4D">
        <w:rPr>
          <w:color w:val="000000"/>
          <w:shd w:val="clear" w:color="auto" w:fill="FFFFFF"/>
        </w:rPr>
        <w:t xml:space="preserve">15.669,68 € </w:t>
      </w:r>
      <w:r w:rsidR="003C38F1" w:rsidRPr="003C38F1">
        <w:rPr>
          <w:color w:val="000000"/>
          <w:shd w:val="clear" w:color="auto" w:fill="FFFFFF"/>
        </w:rPr>
        <w:t xml:space="preserve"> </w:t>
      </w:r>
    </w:p>
    <w:p w:rsidR="00CB6B9D" w:rsidRDefault="00EE60B8" w:rsidP="003C38F1">
      <w:pPr>
        <w:pStyle w:val="Corpodeltesto21"/>
      </w:pP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8D5B4D" w:rsidP="003C38F1">
            <w:pPr>
              <w:pStyle w:val="Corpodeltesto21"/>
              <w:jc w:val="right"/>
            </w:pPr>
            <w:r w:rsidRPr="008D5B4D">
              <w:rPr>
                <w:rFonts w:eastAsia="Times New Roman"/>
                <w:color w:val="000000"/>
                <w:shd w:val="clear" w:color="auto" w:fill="FFFFFF"/>
              </w:rPr>
              <w:t>12.350,00</w:t>
            </w:r>
            <w:r>
              <w:rPr>
                <w:rFonts w:eastAsia="Times New Roman"/>
                <w:color w:val="000000"/>
                <w:shd w:val="clear" w:color="auto" w:fill="FFFFFF"/>
              </w:rPr>
              <w:t xml:space="preserve"> </w:t>
            </w:r>
            <w:r w:rsidRPr="008D5B4D">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8D5B4D" w:rsidP="00936B29">
            <w:pPr>
              <w:pStyle w:val="Corpodeltesto21"/>
              <w:jc w:val="right"/>
            </w:pPr>
            <w:r>
              <w:rPr>
                <w:rFonts w:eastAsia="Times New Roman"/>
                <w:color w:val="000000"/>
                <w:shd w:val="clear" w:color="auto" w:fill="FFFFFF"/>
              </w:rPr>
              <w:t>494</w:t>
            </w:r>
            <w:r w:rsidR="00936B29">
              <w:rPr>
                <w:rFonts w:eastAsia="Times New Roman"/>
                <w:color w:val="000000"/>
                <w:shd w:val="clear" w:color="auto" w:fill="FFFFFF"/>
              </w:rPr>
              <w:t>,00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8D5B4D" w:rsidP="003C38F1">
            <w:pPr>
              <w:pStyle w:val="Corpodeltesto21"/>
              <w:jc w:val="right"/>
            </w:pPr>
            <w:r>
              <w:rPr>
                <w:rFonts w:eastAsia="Times New Roman"/>
                <w:color w:val="000000"/>
                <w:shd w:val="clear" w:color="auto" w:fill="FFFFFF"/>
              </w:rPr>
              <w:t>12.844,00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8D5B4D">
            <w:pPr>
              <w:pStyle w:val="Corpodeltesto21"/>
              <w:jc w:val="right"/>
            </w:pPr>
            <w:r>
              <w:rPr>
                <w:rFonts w:eastAsia="Times New Roman"/>
                <w:color w:val="000000"/>
                <w:shd w:val="clear" w:color="auto" w:fill="FFFFFF"/>
              </w:rPr>
              <w:t>2.825,68</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8D5B4D" w:rsidP="003C38F1">
            <w:pPr>
              <w:pStyle w:val="Corpodeltesto21"/>
              <w:jc w:val="right"/>
              <w:rPr>
                <w:b/>
              </w:rPr>
            </w:pPr>
            <w:r>
              <w:rPr>
                <w:b/>
                <w:color w:val="000000"/>
                <w:shd w:val="clear" w:color="auto" w:fill="FFFFFF"/>
              </w:rPr>
              <w:t>15.669,68</w:t>
            </w:r>
            <w:r w:rsidR="00EE60B8" w:rsidRPr="00936B29">
              <w:rPr>
                <w:b/>
                <w:bCs/>
                <w:color w:val="000000"/>
                <w:spacing w:val="10"/>
                <w:kern w:val="2"/>
                <w:shd w:val="clear" w:color="auto" w:fill="FFFFFF"/>
              </w:rPr>
              <w:t xml:space="preserve">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lastRenderedPageBreak/>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lastRenderedPageBreak/>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F25854" w:rsidRDefault="00EB58B1">
            <w:pPr>
              <w:pStyle w:val="Corpodeltesto21"/>
              <w:jc w:val="center"/>
            </w:pPr>
            <w:r w:rsidRPr="00692EBD">
              <w:rPr>
                <w:rFonts w:ascii="Times New Roman" w:hAnsi="Times New Roman" w:cs="Times New Roman"/>
                <w:sz w:val="24"/>
                <w:szCs w:val="24"/>
              </w:rPr>
              <w:t xml:space="preserve">Ing. Giuseppe </w:t>
            </w:r>
            <w:proofErr w:type="spellStart"/>
            <w:r w:rsidRPr="00692EBD">
              <w:rPr>
                <w:rFonts w:ascii="Times New Roman" w:hAnsi="Times New Roman" w:cs="Times New Roman"/>
                <w:sz w:val="24"/>
                <w:szCs w:val="24"/>
              </w:rPr>
              <w:t>Iccardi</w:t>
            </w:r>
            <w:proofErr w:type="spellEnd"/>
            <w:r w:rsidRPr="00692EBD">
              <w:rPr>
                <w:rFonts w:ascii="Times New Roman" w:hAnsi="Times New Roman" w:cs="Times New Roman"/>
                <w:sz w:val="24"/>
                <w:szCs w:val="24"/>
              </w:rPr>
              <w:t xml:space="preserve"> – I.F.CO. Ingegneria</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0104C5"/>
    <w:rsid w:val="00142582"/>
    <w:rsid w:val="00182E4A"/>
    <w:rsid w:val="00295099"/>
    <w:rsid w:val="002C314E"/>
    <w:rsid w:val="003C38F1"/>
    <w:rsid w:val="00731597"/>
    <w:rsid w:val="007346CF"/>
    <w:rsid w:val="008D5B4D"/>
    <w:rsid w:val="00936B29"/>
    <w:rsid w:val="00A35FED"/>
    <w:rsid w:val="00AE1FA7"/>
    <w:rsid w:val="00AE5C8F"/>
    <w:rsid w:val="00AE6ADC"/>
    <w:rsid w:val="00CB6B9D"/>
    <w:rsid w:val="00EB2B7B"/>
    <w:rsid w:val="00EB58B1"/>
    <w:rsid w:val="00EE60B8"/>
    <w:rsid w:val="00F2585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92C1"/>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2335</Words>
  <Characters>13310</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19</cp:revision>
  <dcterms:created xsi:type="dcterms:W3CDTF">2024-02-29T11:44:00Z</dcterms:created>
  <dcterms:modified xsi:type="dcterms:W3CDTF">2024-12-12T12:35:00Z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