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545" w:type="dxa"/>
        <w:jc w:val="left"/>
        <w:tblInd w:w="0" w:type="dxa"/>
        <w:tblCellMar>
          <w:top w:w="0" w:type="dxa"/>
          <w:left w:w="70" w:type="dxa"/>
          <w:bottom w:w="0" w:type="dxa"/>
          <w:right w:w="70" w:type="dxa"/>
        </w:tblCellMar>
        <w:tblLook w:firstRow="1" w:noVBand="1" w:lastRow="0" w:firstColumn="1" w:lastColumn="0" w:noHBand="0" w:val="04a0"/>
      </w:tblPr>
      <w:tblGrid>
        <w:gridCol w:w="1908"/>
        <w:gridCol w:w="2451"/>
        <w:gridCol w:w="3400"/>
        <w:gridCol w:w="457"/>
        <w:gridCol w:w="1228"/>
        <w:gridCol w:w="1101"/>
      </w:tblGrid>
      <w:tr>
        <w:trPr>
          <w:trHeight w:val="975" w:hRule="atLeast"/>
          <w:cantSplit w:val="true"/>
        </w:trPr>
        <w:tc>
          <w:tcPr>
            <w:tcW w:w="1908" w:type="dxa"/>
            <w:tcBorders/>
          </w:tcPr>
          <w:p>
            <w:pPr>
              <w:pStyle w:val="Standard"/>
              <w:rPr>
                <w:sz w:val="18"/>
              </w:rPr>
            </w:pPr>
            <w:r>
              <w:rPr/>
              <w:drawing>
                <wp:inline distT="0" distB="0" distL="0" distR="0">
                  <wp:extent cx="1028700" cy="933450"/>
                  <wp:effectExtent l="0" t="0" r="0" b="0"/>
                  <wp:docPr id="1"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
                          <pic:cNvPicPr>
                            <a:picLocks noChangeAspect="1" noChangeArrowheads="1"/>
                          </pic:cNvPicPr>
                        </pic:nvPicPr>
                        <pic:blipFill>
                          <a:blip r:embed="rId2"/>
                          <a:srcRect l="-857" t="-988" r="-857" b="-988"/>
                          <a:stretch>
                            <a:fillRect/>
                          </a:stretch>
                        </pic:blipFill>
                        <pic:spPr bwMode="auto">
                          <a:xfrm>
                            <a:off x="0" y="0"/>
                            <a:ext cx="1028700" cy="933450"/>
                          </a:xfrm>
                          <a:prstGeom prst="rect">
                            <a:avLst/>
                          </a:prstGeom>
                        </pic:spPr>
                      </pic:pic>
                    </a:graphicData>
                  </a:graphic>
                </wp:inline>
              </w:drawing>
            </w:r>
          </w:p>
        </w:tc>
        <w:tc>
          <w:tcPr>
            <w:tcW w:w="2451" w:type="dxa"/>
            <w:tcBorders/>
          </w:tcPr>
          <w:p>
            <w:pPr>
              <w:pStyle w:val="Standard"/>
              <w:ind w:right="-143" w:hanging="0"/>
              <w:jc w:val="center"/>
              <w:rPr>
                <w:b/>
                <w:b/>
                <w:sz w:val="18"/>
              </w:rPr>
            </w:pPr>
            <w:r>
              <w:rPr>
                <w:b/>
                <w:sz w:val="18"/>
              </w:rPr>
              <w:t xml:space="preserve"> </w:t>
            </w:r>
          </w:p>
        </w:tc>
        <w:tc>
          <w:tcPr>
            <w:tcW w:w="3400" w:type="dxa"/>
            <w:tcBorders/>
          </w:tcPr>
          <w:p>
            <w:pPr>
              <w:pStyle w:val="Standard"/>
              <w:ind w:right="-143" w:hanging="0"/>
              <w:rPr>
                <w:b/>
                <w:b/>
                <w:sz w:val="18"/>
              </w:rPr>
            </w:pPr>
            <w:r>
              <w:rPr>
                <w:b/>
                <w:sz w:val="18"/>
              </w:rPr>
            </w:r>
          </w:p>
          <w:p>
            <w:pPr>
              <w:pStyle w:val="Standard"/>
              <w:ind w:right="-143" w:hanging="0"/>
              <w:rPr>
                <w:b/>
                <w:b/>
                <w:sz w:val="18"/>
              </w:rPr>
            </w:pPr>
            <w:r>
              <w:rPr>
                <w:b/>
                <w:sz w:val="18"/>
              </w:rPr>
              <w:t>Servizio</w:t>
            </w:r>
          </w:p>
          <w:p>
            <w:pPr>
              <w:pStyle w:val="Standard"/>
              <w:ind w:right="-143" w:hanging="0"/>
              <w:rPr>
                <w:b/>
                <w:b/>
                <w:sz w:val="18"/>
              </w:rPr>
            </w:pPr>
            <w:r>
              <w:rPr>
                <w:b/>
                <w:sz w:val="18"/>
              </w:rPr>
              <w:t>EDILIZIA SCOLASTICA E</w:t>
            </w:r>
          </w:p>
          <w:p>
            <w:pPr>
              <w:pStyle w:val="Standard"/>
              <w:ind w:right="-143" w:hanging="0"/>
              <w:rPr>
                <w:b/>
                <w:b/>
                <w:sz w:val="18"/>
              </w:rPr>
            </w:pPr>
            <w:r>
              <w:rPr>
                <w:b/>
                <w:sz w:val="18"/>
              </w:rPr>
              <w:t>MANUTENZIONE DEL PATRIMONIO</w:t>
            </w:r>
          </w:p>
          <w:p>
            <w:pPr>
              <w:pStyle w:val="Standard"/>
              <w:ind w:right="-143" w:hanging="0"/>
              <w:rPr>
                <w:b/>
                <w:b/>
                <w:sz w:val="18"/>
              </w:rPr>
            </w:pPr>
            <w:r>
              <w:rPr>
                <w:b/>
                <w:sz w:val="18"/>
              </w:rPr>
            </w:r>
          </w:p>
          <w:p>
            <w:pPr>
              <w:pStyle w:val="Standard"/>
              <w:ind w:right="-143" w:hanging="0"/>
              <w:rPr>
                <w:b/>
                <w:b/>
                <w:sz w:val="18"/>
              </w:rPr>
            </w:pPr>
            <w:r>
              <w:rPr>
                <w:b/>
                <w:sz w:val="18"/>
              </w:rPr>
              <w:t>Unità Organizzativa</w:t>
            </w:r>
          </w:p>
          <w:p>
            <w:pPr>
              <w:pStyle w:val="Standard"/>
              <w:ind w:right="-143" w:hanging="0"/>
              <w:rPr>
                <w:b/>
                <w:b/>
                <w:sz w:val="18"/>
              </w:rPr>
            </w:pPr>
            <w:r>
              <w:rPr>
                <w:b/>
                <w:sz w:val="18"/>
              </w:rPr>
              <w:t>EDILIZIA SCOLASTICA</w:t>
            </w:r>
          </w:p>
        </w:tc>
        <w:tc>
          <w:tcPr>
            <w:tcW w:w="457" w:type="dxa"/>
            <w:tcBorders/>
          </w:tcPr>
          <w:p>
            <w:pPr>
              <w:pStyle w:val="Standard"/>
              <w:ind w:right="-143" w:hanging="0"/>
              <w:jc w:val="center"/>
              <w:rPr>
                <w:sz w:val="18"/>
              </w:rPr>
            </w:pPr>
            <w:r>
              <w:rPr>
                <w:sz w:val="18"/>
              </w:rPr>
            </w:r>
          </w:p>
        </w:tc>
        <w:tc>
          <w:tcPr>
            <w:tcW w:w="2329" w:type="dxa"/>
            <w:gridSpan w:val="2"/>
            <w:tcBorders/>
          </w:tcPr>
          <w:p>
            <w:pPr>
              <w:pStyle w:val="Standard"/>
              <w:ind w:right="-143" w:hanging="0"/>
              <w:jc w:val="center"/>
              <w:rPr>
                <w:sz w:val="18"/>
              </w:rPr>
            </w:pPr>
            <w:r>
              <w:rPr>
                <w:sz w:val="18"/>
              </w:rPr>
              <w:t>Viale Martiri</w:t>
            </w:r>
          </w:p>
          <w:p>
            <w:pPr>
              <w:pStyle w:val="Standard"/>
              <w:ind w:right="-143" w:hanging="0"/>
              <w:jc w:val="center"/>
              <w:rPr>
                <w:sz w:val="18"/>
              </w:rPr>
            </w:pPr>
            <w:r>
              <w:rPr>
                <w:sz w:val="18"/>
              </w:rPr>
              <w:t>della Libertà n.15</w:t>
            </w:r>
          </w:p>
          <w:p>
            <w:pPr>
              <w:pStyle w:val="Standard"/>
              <w:ind w:right="-143" w:hanging="0"/>
              <w:jc w:val="center"/>
              <w:rPr>
                <w:sz w:val="18"/>
              </w:rPr>
            </w:pPr>
            <w:r>
              <w:rPr>
                <w:sz w:val="18"/>
              </w:rPr>
              <w:t>43123 Parma</w:t>
            </w:r>
          </w:p>
          <w:p>
            <w:pPr>
              <w:pStyle w:val="Standard"/>
              <w:ind w:right="-143" w:hanging="0"/>
              <w:jc w:val="center"/>
              <w:rPr>
                <w:sz w:val="18"/>
              </w:rPr>
            </w:pPr>
            <w:r>
              <w:rPr>
                <w:sz w:val="18"/>
              </w:rPr>
              <w:t>Tel. 0521 931710</w:t>
            </w:r>
          </w:p>
        </w:tc>
      </w:tr>
      <w:tr>
        <w:trPr>
          <w:cantSplit w:val="true"/>
        </w:trPr>
        <w:tc>
          <w:tcPr>
            <w:tcW w:w="1908" w:type="dxa"/>
            <w:tcBorders/>
            <w:vAlign w:val="bottom"/>
          </w:tcPr>
          <w:p>
            <w:pPr>
              <w:pStyle w:val="Standard"/>
              <w:ind w:right="-143" w:hanging="0"/>
              <w:jc w:val="center"/>
              <w:rPr>
                <w:sz w:val="18"/>
              </w:rPr>
            </w:pPr>
            <w:r>
              <w:rPr>
                <w:sz w:val="18"/>
              </w:rPr>
              <w:t>Il Funzionario incaricato di Elevata Qualificazione</w:t>
            </w:r>
          </w:p>
        </w:tc>
        <w:tc>
          <w:tcPr>
            <w:tcW w:w="2451" w:type="dxa"/>
            <w:tcBorders/>
            <w:vAlign w:val="bottom"/>
          </w:tcPr>
          <w:p>
            <w:pPr>
              <w:pStyle w:val="Standard"/>
              <w:ind w:right="-143" w:hanging="0"/>
              <w:jc w:val="center"/>
              <w:rPr>
                <w:sz w:val="18"/>
              </w:rPr>
            </w:pPr>
            <w:r>
              <w:rPr>
                <w:sz w:val="18"/>
              </w:rPr>
            </w:r>
          </w:p>
        </w:tc>
        <w:tc>
          <w:tcPr>
            <w:tcW w:w="3400" w:type="dxa"/>
            <w:tcBorders/>
            <w:vAlign w:val="bottom"/>
          </w:tcPr>
          <w:p>
            <w:pPr>
              <w:pStyle w:val="Standard"/>
              <w:ind w:right="-143" w:hanging="0"/>
              <w:jc w:val="center"/>
              <w:rPr>
                <w:sz w:val="18"/>
              </w:rPr>
            </w:pPr>
            <w:r>
              <w:rPr>
                <w:sz w:val="18"/>
              </w:rPr>
              <w:t>E-mail</w:t>
            </w:r>
          </w:p>
        </w:tc>
        <w:tc>
          <w:tcPr>
            <w:tcW w:w="2786" w:type="dxa"/>
            <w:gridSpan w:val="3"/>
            <w:tcBorders/>
            <w:vAlign w:val="bottom"/>
          </w:tcPr>
          <w:p>
            <w:pPr>
              <w:pStyle w:val="Standard"/>
              <w:ind w:right="-143" w:hanging="0"/>
              <w:jc w:val="center"/>
              <w:rPr>
                <w:sz w:val="18"/>
              </w:rPr>
            </w:pPr>
            <w:r>
              <w:rPr>
                <w:sz w:val="18"/>
              </w:rPr>
              <w:t>Sito internet Ente</w:t>
            </w:r>
          </w:p>
        </w:tc>
      </w:tr>
      <w:tr>
        <w:trPr>
          <w:trHeight w:val="80" w:hRule="exact"/>
          <w:cantSplit w:val="true"/>
        </w:trPr>
        <w:tc>
          <w:tcPr>
            <w:tcW w:w="9444" w:type="dxa"/>
            <w:gridSpan w:val="5"/>
            <w:tcBorders/>
          </w:tcPr>
          <w:p>
            <w:pPr>
              <w:pStyle w:val="Standard"/>
              <w:ind w:right="-143" w:hanging="0"/>
              <w:jc w:val="center"/>
              <w:rPr>
                <w:b/>
                <w:b/>
                <w:sz w:val="18"/>
              </w:rPr>
            </w:pPr>
            <w:r>
              <w:rPr>
                <w:b/>
                <w:sz w:val="18"/>
              </w:rPr>
              <mc:AlternateContent>
                <mc:Choice Requires="wps">
                  <w:drawing>
                    <wp:anchor behindDoc="0" distT="0" distB="0" distL="0" distR="0" simplePos="0" locked="0" layoutInCell="1" allowOverlap="1" relativeHeight="3" wp14:anchorId="5C26FC8C">
                      <wp:simplePos x="0" y="0"/>
                      <wp:positionH relativeFrom="column">
                        <wp:posOffset>-10795</wp:posOffset>
                      </wp:positionH>
                      <wp:positionV relativeFrom="paragraph">
                        <wp:posOffset>28575</wp:posOffset>
                      </wp:positionV>
                      <wp:extent cx="4954270" cy="2540"/>
                      <wp:effectExtent l="0" t="0" r="0" b="0"/>
                      <wp:wrapNone/>
                      <wp:docPr id="2" name="Connettore diritto 6"/>
                      <a:graphic xmlns:a="http://schemas.openxmlformats.org/drawingml/2006/main">
                        <a:graphicData uri="http://schemas.microsoft.com/office/word/2010/wordprocessingShape">
                          <wps:wsp>
                            <wps:cNvSpPr/>
                            <wps:spPr>
                              <a:xfrm>
                                <a:off x="0" y="0"/>
                                <a:ext cx="4953600" cy="1440"/>
                              </a:xfrm>
                              <a:prstGeom prst="line">
                                <a:avLst/>
                              </a:prstGeom>
                              <a:ln cap="sq" w="38160">
                                <a:solidFill>
                                  <a:srgbClr val="c0c0c0"/>
                                </a:solidFill>
                                <a:miter/>
                              </a:ln>
                            </wps:spPr>
                            <wps:style>
                              <a:lnRef idx="0"/>
                              <a:fillRef idx="0"/>
                              <a:effectRef idx="0"/>
                              <a:fontRef idx="minor"/>
                            </wps:style>
                            <wps:bodyPr/>
                          </wps:wsp>
                        </a:graphicData>
                      </a:graphic>
                    </wp:anchor>
                  </w:drawing>
                </mc:Choice>
                <mc:Fallback>
                  <w:pict>
                    <v:line id="shape_0" from="-0.85pt,2.25pt" to="389.15pt,2.3pt" ID="Connettore diritto 6" stroked="t" style="position:absolute" wp14:anchorId="5C26FC8C">
                      <v:stroke color="silver" weight="38160" joinstyle="miter" endcap="square"/>
                      <v:fill o:detectmouseclick="t" on="false"/>
                    </v:line>
                  </w:pict>
                </mc:Fallback>
              </mc:AlternateContent>
            </w:r>
          </w:p>
        </w:tc>
        <w:tc>
          <w:tcPr>
            <w:tcW w:w="1101" w:type="dxa"/>
            <w:tcBorders/>
          </w:tcPr>
          <w:p>
            <w:pPr>
              <w:pStyle w:val="Standard"/>
              <w:ind w:right="-143" w:hanging="0"/>
              <w:jc w:val="center"/>
              <w:rPr>
                <w:b/>
                <w:b/>
                <w:sz w:val="18"/>
              </w:rPr>
            </w:pPr>
            <w:r>
              <w:rPr>
                <w:b/>
                <w:sz w:val="18"/>
              </w:rPr>
            </w:r>
          </w:p>
        </w:tc>
      </w:tr>
      <w:tr>
        <w:trPr>
          <w:trHeight w:val="103" w:hRule="atLeast"/>
          <w:cantSplit w:val="true"/>
        </w:trPr>
        <w:tc>
          <w:tcPr>
            <w:tcW w:w="1908" w:type="dxa"/>
            <w:tcBorders/>
          </w:tcPr>
          <w:p>
            <w:pPr>
              <w:pStyle w:val="Standard"/>
              <w:ind w:right="-143" w:hanging="0"/>
              <w:jc w:val="center"/>
              <w:rPr>
                <w:i/>
                <w:i/>
                <w:sz w:val="18"/>
                <w:lang w:val="fr-FR"/>
              </w:rPr>
            </w:pPr>
            <w:r>
              <w:rPr>
                <w:i/>
                <w:sz w:val="18"/>
                <w:lang w:val="fr-FR"/>
              </w:rPr>
              <w:t>Ing. Elisa Botta</w:t>
            </w:r>
          </w:p>
        </w:tc>
        <w:tc>
          <w:tcPr>
            <w:tcW w:w="2451" w:type="dxa"/>
            <w:tcBorders/>
          </w:tcPr>
          <w:p>
            <w:pPr>
              <w:pStyle w:val="Standard"/>
              <w:ind w:right="-143" w:hanging="0"/>
              <w:jc w:val="center"/>
              <w:rPr>
                <w:i/>
                <w:i/>
                <w:sz w:val="18"/>
                <w:lang w:val="fr-FR"/>
              </w:rPr>
            </w:pPr>
            <w:r>
              <w:rPr>
                <w:i/>
                <w:sz w:val="18"/>
                <w:lang w:val="fr-FR"/>
              </w:rPr>
            </w:r>
          </w:p>
        </w:tc>
        <w:tc>
          <w:tcPr>
            <w:tcW w:w="3400" w:type="dxa"/>
            <w:tcBorders/>
          </w:tcPr>
          <w:p>
            <w:pPr>
              <w:pStyle w:val="Standard"/>
              <w:ind w:right="-143" w:hanging="0"/>
              <w:jc w:val="center"/>
              <w:rPr>
                <w:i/>
                <w:i/>
                <w:sz w:val="18"/>
                <w:lang w:val="fr-FR"/>
              </w:rPr>
            </w:pPr>
            <w:r>
              <w:rPr>
                <w:i/>
                <w:sz w:val="18"/>
                <w:lang w:val="fr-FR"/>
              </w:rPr>
              <w:t>e.botta@provincia.parma.it</w:t>
            </w:r>
          </w:p>
        </w:tc>
        <w:tc>
          <w:tcPr>
            <w:tcW w:w="2786" w:type="dxa"/>
            <w:gridSpan w:val="3"/>
            <w:tcBorders/>
          </w:tcPr>
          <w:p>
            <w:pPr>
              <w:pStyle w:val="Standard"/>
              <w:ind w:right="-143" w:hanging="0"/>
              <w:jc w:val="center"/>
              <w:rPr>
                <w:i/>
                <w:i/>
                <w:sz w:val="18"/>
                <w:lang w:val="fr-FR"/>
              </w:rPr>
            </w:pPr>
            <w:r>
              <w:rPr>
                <w:i/>
                <w:sz w:val="18"/>
                <w:lang w:val="fr-FR"/>
              </w:rPr>
              <w:t>www.provincia.parma.it</w:t>
            </w:r>
          </w:p>
        </w:tc>
      </w:tr>
    </w:tbl>
    <w:p>
      <w:pPr>
        <w:pStyle w:val="Standard"/>
        <w:tabs>
          <w:tab w:val="clear" w:pos="408"/>
          <w:tab w:val="left" w:pos="570" w:leader="none"/>
          <w:tab w:val="left" w:pos="5385" w:leader="none"/>
        </w:tabs>
        <w:spacing w:before="567" w:after="567"/>
        <w:rPr/>
      </w:pPr>
      <w:r>
        <w:rPr>
          <w:shd w:fill="FFFFFF" w:val="clear"/>
        </w:rPr>
        <w:tab/>
      </w:r>
      <w:r>
        <w:rPr>
          <w:sz w:val="20"/>
          <w:szCs w:val="20"/>
          <w:shd w:fill="FFFFFF" w:val="clear"/>
        </w:rPr>
        <w:t xml:space="preserve">Parma, </w:t>
      </w:r>
      <w:r>
        <w:rPr>
          <w:sz w:val="20"/>
          <w:szCs w:val="20"/>
        </w:rPr>
        <w:t>xx/xx/2025</w:t>
        <w:tab/>
        <w:t>Prot n. ______</w:t>
      </w:r>
    </w:p>
    <w:p>
      <w:pPr>
        <w:pStyle w:val="Standard"/>
        <w:tabs>
          <w:tab w:val="clear" w:pos="408"/>
          <w:tab w:val="left" w:pos="5385" w:leader="none"/>
        </w:tabs>
        <w:ind w:left="5385" w:hanging="0"/>
        <w:rPr/>
      </w:pPr>
      <w:r>
        <w:rPr>
          <w:sz w:val="20"/>
          <w:szCs w:val="20"/>
        </w:rPr>
        <w:t>Spett.le</w:t>
      </w:r>
    </w:p>
    <w:p>
      <w:pPr>
        <w:pStyle w:val="Normal"/>
        <w:tabs>
          <w:tab w:val="clear" w:pos="408"/>
          <w:tab w:val="left" w:pos="5670" w:leader="none"/>
        </w:tabs>
        <w:ind w:right="-144" w:hanging="0"/>
        <w:jc w:val="both"/>
        <w:rPr>
          <w:rFonts w:ascii="Verdana" w:hAnsi="Verdana" w:eastAsia="Times New Roman" w:cs="Mangal"/>
          <w:color w:val="000000"/>
          <w:kern w:val="2"/>
          <w:sz w:val="20"/>
          <w:szCs w:val="20"/>
          <w:lang w:eastAsia="it-IT"/>
        </w:rPr>
      </w:pPr>
      <w:r>
        <w:rPr>
          <w:rFonts w:eastAsia="Times New Roman" w:cs="Mangal" w:ascii="Verdana" w:hAnsi="Verdana"/>
          <w:color w:val="000000"/>
          <w:kern w:val="2"/>
          <w:sz w:val="20"/>
          <w:szCs w:val="20"/>
          <w:lang w:eastAsia="it-IT"/>
        </w:rPr>
        <w:tab/>
        <w:t xml:space="preserve">Ing. Matteo Carlini </w:t>
      </w:r>
    </w:p>
    <w:p>
      <w:pPr>
        <w:pStyle w:val="Normal"/>
        <w:tabs>
          <w:tab w:val="clear" w:pos="408"/>
          <w:tab w:val="left" w:pos="5670" w:leader="none"/>
        </w:tabs>
        <w:ind w:right="-144" w:hanging="0"/>
        <w:jc w:val="both"/>
        <w:rPr>
          <w:rFonts w:ascii="Verdana" w:hAnsi="Verdana" w:eastAsia="Times New Roman" w:cs="Mangal"/>
          <w:color w:val="000000"/>
          <w:kern w:val="2"/>
          <w:sz w:val="20"/>
          <w:szCs w:val="20"/>
          <w:lang w:eastAsia="it-IT"/>
        </w:rPr>
      </w:pPr>
      <w:r>
        <w:rPr>
          <w:rFonts w:eastAsia="Times New Roman" w:cs="Mangal" w:ascii="Verdana" w:hAnsi="Verdana"/>
          <w:color w:val="000000"/>
          <w:kern w:val="2"/>
          <w:sz w:val="20"/>
          <w:szCs w:val="20"/>
          <w:lang w:eastAsia="it-IT"/>
        </w:rPr>
        <w:tab/>
        <w:t>Via Largo Caduti di Katyn n. 17</w:t>
      </w:r>
    </w:p>
    <w:p>
      <w:pPr>
        <w:pStyle w:val="Standard"/>
        <w:tabs>
          <w:tab w:val="clear" w:pos="408"/>
          <w:tab w:val="left" w:pos="5670" w:leader="none"/>
        </w:tabs>
        <w:ind w:left="5385" w:hanging="0"/>
        <w:rPr>
          <w:rFonts w:eastAsia="Times New Roman" w:cs="Mangal"/>
          <w:color w:val="000000"/>
          <w:sz w:val="20"/>
          <w:szCs w:val="20"/>
          <w:lang w:eastAsia="it-IT"/>
        </w:rPr>
      </w:pPr>
      <w:r>
        <w:rPr>
          <w:rFonts w:eastAsia="Times New Roman" w:cs="Mangal"/>
          <w:color w:val="000000"/>
          <w:sz w:val="20"/>
          <w:szCs w:val="20"/>
          <w:lang w:eastAsia="it-IT"/>
        </w:rPr>
        <w:t xml:space="preserve"> </w:t>
      </w:r>
      <w:r>
        <w:rPr>
          <w:rFonts w:eastAsia="Times New Roman" w:cs="Mangal"/>
          <w:color w:val="000000"/>
          <w:sz w:val="20"/>
          <w:szCs w:val="20"/>
          <w:lang w:eastAsia="it-IT"/>
        </w:rPr>
        <w:t xml:space="preserve">- 43123 Parma (PR)- P. IVA </w:t>
      </w:r>
      <w:bookmarkStart w:id="0" w:name="_Hlk201566743"/>
      <w:bookmarkEnd w:id="0"/>
      <w:r>
        <w:rPr>
          <w:rFonts w:eastAsia="Times New Roman" w:cs="Mangal"/>
          <w:color w:val="000000"/>
          <w:sz w:val="20"/>
          <w:szCs w:val="20"/>
          <w:lang w:eastAsia="it-IT"/>
        </w:rPr>
        <w:t>02734230341</w:t>
      </w:r>
    </w:p>
    <w:p>
      <w:pPr>
        <w:pStyle w:val="Standard"/>
        <w:tabs>
          <w:tab w:val="clear" w:pos="408"/>
          <w:tab w:val="left" w:pos="5670" w:leader="none"/>
        </w:tabs>
        <w:ind w:left="5385" w:hanging="0"/>
        <w:rPr>
          <w:rFonts w:eastAsia="Times New Roman" w:cs="Mangal"/>
          <w:color w:val="000000"/>
          <w:sz w:val="20"/>
          <w:szCs w:val="20"/>
          <w:lang w:eastAsia="it-IT"/>
        </w:rPr>
      </w:pPr>
      <w:r>
        <w:rPr>
          <w:rFonts w:eastAsia="Times New Roman" w:cs="Mangal"/>
          <w:color w:val="000000"/>
          <w:sz w:val="20"/>
          <w:szCs w:val="20"/>
          <w:lang w:eastAsia="it-IT"/>
        </w:rPr>
        <w:t>matteo.carlini@ingpec.eu</w:t>
      </w:r>
    </w:p>
    <w:p>
      <w:pPr>
        <w:pStyle w:val="Titolo1"/>
        <w:shd w:fill="F2F2F2" w:val="clear"/>
        <w:spacing w:before="567" w:after="567"/>
        <w:jc w:val="center"/>
        <w:rPr/>
      </w:pPr>
      <w:r>
        <w:rPr/>
        <w:t>LETTERA COMMERCIALE</w:t>
      </w:r>
    </w:p>
    <w:p>
      <w:pPr>
        <w:pStyle w:val="Corpodeltesto21"/>
        <w:rPr>
          <w:rFonts w:cs="Arial"/>
          <w:sz w:val="20"/>
          <w:szCs w:val="20"/>
        </w:rPr>
      </w:pPr>
      <w:r>
        <w:rPr>
          <w:rFonts w:cs="Arial"/>
          <w:sz w:val="20"/>
          <w:szCs w:val="20"/>
        </w:rPr>
        <w:t xml:space="preserve">Oggetto: LAVORI DI "ITSOS GADDA DI LANGHIRANO: ADEGUAMENTO SISMICO" - </w:t>
      </w:r>
      <w:bookmarkStart w:id="1" w:name="_Hlk200360602"/>
      <w:bookmarkEnd w:id="1"/>
      <w:r>
        <w:rPr>
          <w:rFonts w:cs="Arial"/>
          <w:sz w:val="20"/>
          <w:szCs w:val="20"/>
        </w:rPr>
        <w:t>AGGIORNAMENTO DEL PIANO DI SICUREZZA E COORDINAMENTO A SEGUITO DI RISOLUZIONE CONTRATTUALE</w:t>
      </w:r>
    </w:p>
    <w:p>
      <w:pPr>
        <w:pStyle w:val="Titolo2"/>
        <w:jc w:val="left"/>
        <w:rPr>
          <w:rFonts w:eastAsia="Mangal"/>
          <w:color w:val="000000"/>
          <w:sz w:val="20"/>
          <w:szCs w:val="20"/>
          <w:lang w:eastAsia="it-IT"/>
        </w:rPr>
      </w:pPr>
      <w:r>
        <w:rPr>
          <w:rFonts w:eastAsia="Mangal"/>
          <w:color w:val="000000"/>
          <w:sz w:val="20"/>
          <w:szCs w:val="20"/>
          <w:lang w:eastAsia="it-IT"/>
        </w:rPr>
        <w:t>CUP: D99F19000020003</w:t>
      </w:r>
    </w:p>
    <w:p>
      <w:pPr>
        <w:pStyle w:val="Titolo2"/>
        <w:jc w:val="left"/>
        <w:rPr>
          <w:rFonts w:eastAsia="Mangal"/>
          <w:color w:val="000000"/>
          <w:sz w:val="20"/>
          <w:szCs w:val="20"/>
          <w:lang w:eastAsia="it-IT"/>
        </w:rPr>
      </w:pPr>
      <w:r>
        <w:rPr>
          <w:rFonts w:eastAsia="Mangal"/>
          <w:color w:val="000000"/>
          <w:sz w:val="20"/>
          <w:szCs w:val="20"/>
          <w:lang w:eastAsia="it-IT"/>
        </w:rPr>
        <w:t>CIG: B7A5905DEB</w:t>
      </w:r>
    </w:p>
    <w:p>
      <w:pPr>
        <w:pStyle w:val="Corpodeltesto21"/>
        <w:ind w:right="-144" w:hanging="0"/>
        <w:rPr>
          <w:rFonts w:eastAsia="Times New Roman"/>
          <w:sz w:val="20"/>
          <w:szCs w:val="20"/>
          <w:highlight w:val="yellow"/>
        </w:rPr>
      </w:pPr>
      <w:r>
        <w:rPr>
          <w:rFonts w:eastAsia="Times New Roman"/>
          <w:sz w:val="20"/>
          <w:szCs w:val="20"/>
          <w:highlight w:val="yellow"/>
        </w:rPr>
      </w:r>
    </w:p>
    <w:p>
      <w:pPr>
        <w:pStyle w:val="Corpodeltesto21"/>
        <w:rPr>
          <w:rFonts w:eastAsia="Times New Roman"/>
          <w:sz w:val="20"/>
          <w:szCs w:val="20"/>
        </w:rPr>
      </w:pPr>
      <w:r>
        <w:rPr>
          <w:rFonts w:eastAsia="Times New Roman"/>
          <w:sz w:val="20"/>
          <w:szCs w:val="20"/>
        </w:rPr>
      </w:r>
    </w:p>
    <w:p>
      <w:pPr>
        <w:pStyle w:val="Corpodeltesto21"/>
        <w:rPr>
          <w:sz w:val="20"/>
          <w:szCs w:val="20"/>
        </w:rPr>
      </w:pPr>
      <w:r>
        <w:rPr>
          <w:rFonts w:eastAsia="Times New Roman"/>
          <w:b/>
          <w:bCs/>
          <w:sz w:val="20"/>
          <w:szCs w:val="20"/>
        </w:rPr>
        <w:t>PREMESSO CHE:</w:t>
      </w:r>
    </w:p>
    <w:p>
      <w:pPr>
        <w:pStyle w:val="Corpodeltesto21"/>
        <w:rPr>
          <w:sz w:val="20"/>
          <w:szCs w:val="20"/>
        </w:rPr>
      </w:pPr>
      <w:r>
        <w:rPr>
          <w:rFonts w:eastAsia="Times New Roman"/>
          <w:sz w:val="20"/>
          <w:szCs w:val="20"/>
        </w:rPr>
        <w:t xml:space="preserve">con determinazione n° </w:t>
      </w:r>
      <w:r>
        <w:rPr>
          <w:rFonts w:eastAsia="Times New Roman"/>
          <w:b/>
          <w:bCs/>
          <w:sz w:val="20"/>
          <w:szCs w:val="20"/>
        </w:rPr>
        <w:t>xxx</w:t>
      </w:r>
      <w:r>
        <w:rPr>
          <w:rFonts w:eastAsia="Times New Roman"/>
          <w:sz w:val="20"/>
          <w:szCs w:val="20"/>
        </w:rPr>
        <w:t xml:space="preserve"> del </w:t>
      </w:r>
      <w:r>
        <w:rPr>
          <w:rFonts w:eastAsia="Times New Roman"/>
          <w:b/>
          <w:bCs/>
          <w:sz w:val="20"/>
          <w:szCs w:val="20"/>
        </w:rPr>
        <w:t>xx/xx/2025</w:t>
      </w:r>
      <w:r>
        <w:rPr>
          <w:rFonts w:eastAsia="Times New Roman"/>
          <w:sz w:val="20"/>
          <w:szCs w:val="20"/>
        </w:rPr>
        <w:t xml:space="preserve"> si è provveduto all’affidamento del servizio </w:t>
      </w:r>
      <w:r>
        <w:rPr>
          <w:sz w:val="20"/>
          <w:szCs w:val="20"/>
        </w:rPr>
        <w:t>in oggetto;</w:t>
      </w:r>
    </w:p>
    <w:p>
      <w:pPr>
        <w:pStyle w:val="Corpodeltesto21"/>
        <w:rPr>
          <w:sz w:val="20"/>
          <w:szCs w:val="20"/>
        </w:rPr>
      </w:pPr>
      <w:r>
        <w:rPr>
          <w:sz w:val="20"/>
          <w:szCs w:val="20"/>
        </w:rPr>
        <w:t>con il medesimo atto è stato approvato il presente schema di lettera commerciale regolante l’incarico;</w:t>
      </w:r>
    </w:p>
    <w:p>
      <w:pPr>
        <w:pStyle w:val="Corpodeltesto21"/>
        <w:rPr>
          <w:sz w:val="20"/>
          <w:szCs w:val="20"/>
        </w:rPr>
      </w:pPr>
      <w:r>
        <w:rPr>
          <w:sz w:val="20"/>
          <w:szCs w:val="20"/>
        </w:rPr>
      </w:r>
    </w:p>
    <w:p>
      <w:pPr>
        <w:pStyle w:val="Corpodeltesto21"/>
        <w:rPr>
          <w:sz w:val="20"/>
          <w:szCs w:val="20"/>
        </w:rPr>
      </w:pPr>
      <w:r>
        <w:rPr>
          <w:sz w:val="20"/>
          <w:szCs w:val="20"/>
        </w:rPr>
      </w:r>
    </w:p>
    <w:p>
      <w:pPr>
        <w:pStyle w:val="Corpodeltesto21"/>
        <w:jc w:val="center"/>
        <w:rPr>
          <w:sz w:val="20"/>
          <w:szCs w:val="20"/>
        </w:rPr>
      </w:pPr>
      <w:r>
        <w:rPr>
          <w:b/>
          <w:bCs/>
          <w:sz w:val="20"/>
          <w:szCs w:val="20"/>
        </w:rPr>
        <w:t>SI STIPULA QUANTO SEGUE:</w:t>
      </w:r>
    </w:p>
    <w:p>
      <w:pPr>
        <w:pStyle w:val="Corpodeltesto21"/>
        <w:jc w:val="center"/>
        <w:rPr>
          <w:b/>
          <w:b/>
          <w:bCs/>
          <w:sz w:val="20"/>
          <w:szCs w:val="20"/>
        </w:rPr>
      </w:pPr>
      <w:r>
        <w:rPr>
          <w:b/>
          <w:bCs/>
          <w:sz w:val="20"/>
          <w:szCs w:val="20"/>
        </w:rPr>
      </w:r>
    </w:p>
    <w:p>
      <w:pPr>
        <w:pStyle w:val="Corpodeltesto21"/>
        <w:rPr>
          <w:sz w:val="20"/>
          <w:szCs w:val="20"/>
        </w:rPr>
      </w:pPr>
      <w:r>
        <w:rPr>
          <w:sz w:val="20"/>
          <w:szCs w:val="20"/>
        </w:rPr>
      </w:r>
    </w:p>
    <w:p>
      <w:pPr>
        <w:pStyle w:val="Titolo1"/>
        <w:shd w:fill="F2F2F2" w:val="clear"/>
        <w:spacing w:before="0" w:after="227"/>
        <w:rPr>
          <w:sz w:val="20"/>
          <w:szCs w:val="20"/>
        </w:rPr>
      </w:pPr>
      <w:r>
        <w:rPr>
          <w:sz w:val="20"/>
          <w:szCs w:val="20"/>
        </w:rPr>
        <w:t>Articolo 1 – Oggetto dell’incarico e parti interessate</w:t>
      </w:r>
    </w:p>
    <w:p>
      <w:pPr>
        <w:pStyle w:val="Corpodeltesto21"/>
        <w:rPr>
          <w:sz w:val="20"/>
          <w:szCs w:val="20"/>
        </w:rPr>
      </w:pPr>
      <w:r>
        <w:rPr>
          <w:b/>
          <w:bCs/>
          <w:spacing w:val="10"/>
          <w:sz w:val="20"/>
          <w:szCs w:val="20"/>
          <w:shd w:fill="FFFFFF" w:val="clear"/>
        </w:rPr>
        <w:t>Committente</w:t>
      </w:r>
      <w:r>
        <w:rPr>
          <w:spacing w:val="10"/>
          <w:sz w:val="20"/>
          <w:szCs w:val="20"/>
          <w:shd w:fill="FFFFFF" w:val="clear"/>
        </w:rPr>
        <w:t>: Provincia di Parma con sede in V.le Martiri della Libertà, 15 – 43123 Parma rappresentata dall’EQ dell’Ufficio Edilizia Scolastica, Servizio Edilizia Scolastica e Manutenzione del Patrimonio, Arch. Matteo Piovani</w:t>
      </w:r>
    </w:p>
    <w:p>
      <w:pPr>
        <w:pStyle w:val="Corpodeltesto21"/>
        <w:rPr>
          <w:sz w:val="20"/>
          <w:szCs w:val="20"/>
        </w:rPr>
      </w:pPr>
      <w:r>
        <w:rPr>
          <w:sz w:val="20"/>
          <w:szCs w:val="20"/>
        </w:rPr>
      </w:r>
    </w:p>
    <w:p>
      <w:pPr>
        <w:pStyle w:val="Corpodeltesto21"/>
        <w:rPr>
          <w:rFonts w:eastAsia="Times New Roman"/>
          <w:color w:val="000000"/>
          <w:sz w:val="20"/>
          <w:szCs w:val="20"/>
          <w:highlight w:val="green"/>
          <w:lang w:eastAsia="it-IT"/>
        </w:rPr>
      </w:pPr>
      <w:r>
        <w:rPr>
          <w:b/>
          <w:bCs/>
          <w:color w:val="000000"/>
          <w:spacing w:val="10"/>
          <w:sz w:val="20"/>
          <w:szCs w:val="20"/>
          <w:shd w:fill="FFFFFF" w:val="clear"/>
        </w:rPr>
        <w:t>Operatore Economico incaricato:</w:t>
      </w:r>
      <w:r>
        <w:rPr>
          <w:bCs/>
          <w:color w:val="000000"/>
          <w:spacing w:val="10"/>
          <w:sz w:val="20"/>
          <w:szCs w:val="20"/>
          <w:shd w:fill="FFFFFF" w:val="clear"/>
        </w:rPr>
        <w:t xml:space="preserve"> </w:t>
      </w:r>
      <w:r>
        <w:rPr>
          <w:rFonts w:eastAsia="Times New Roman"/>
          <w:bCs/>
          <w:color w:val="000000"/>
          <w:sz w:val="20"/>
          <w:szCs w:val="20"/>
          <w:lang w:eastAsia="it-IT"/>
        </w:rPr>
        <w:t>ing. Matteo Carlini, via Largo Caduti di Katyn n. 17 Parma – PI: 02734230341</w:t>
      </w:r>
    </w:p>
    <w:p>
      <w:pPr>
        <w:pStyle w:val="Corpodeltesto21"/>
        <w:rPr>
          <w:sz w:val="20"/>
          <w:szCs w:val="20"/>
        </w:rPr>
      </w:pPr>
      <w:r>
        <w:rPr>
          <w:sz w:val="20"/>
          <w:szCs w:val="20"/>
        </w:rPr>
      </w:r>
    </w:p>
    <w:p>
      <w:pPr>
        <w:pStyle w:val="Corpodeltesto21"/>
        <w:rPr/>
      </w:pPr>
      <w:r>
        <w:rPr>
          <w:sz w:val="20"/>
          <w:szCs w:val="20"/>
        </w:rPr>
        <w:t>La Provincia di Parma, con riferimento all’appalto in oggetto,</w:t>
      </w:r>
      <w:r>
        <w:rPr>
          <w:color w:val="000000"/>
          <w:spacing w:val="10"/>
          <w:sz w:val="20"/>
          <w:szCs w:val="20"/>
        </w:rPr>
        <w:t xml:space="preserve"> </w:t>
      </w:r>
      <w:r>
        <w:rPr>
          <w:sz w:val="20"/>
          <w:szCs w:val="20"/>
        </w:rPr>
        <w:t xml:space="preserve">conferisce all’Operatore Economico l’incarico per l’esecuzione dei seguenti servizi “INCARICO PROFESSIONALE PER: </w:t>
      </w:r>
      <w:r>
        <w:rPr>
          <w:rFonts w:cs="Arial"/>
          <w:sz w:val="20"/>
          <w:szCs w:val="20"/>
        </w:rPr>
        <w:t>AGGIORNAMENTO DEL PIANO DI SICUREZZA E COORDINAMENTO A SEGUITO DI RISOLUZIONE CONTRATTUALE</w:t>
      </w:r>
      <w:r>
        <w:rPr>
          <w:sz w:val="20"/>
          <w:szCs w:val="20"/>
        </w:rPr>
        <w:t>”;</w:t>
      </w:r>
    </w:p>
    <w:p>
      <w:pPr>
        <w:pStyle w:val="Corpodeltesto21"/>
        <w:rPr>
          <w:sz w:val="20"/>
          <w:szCs w:val="20"/>
        </w:rPr>
      </w:pPr>
      <w:r>
        <w:rPr>
          <w:sz w:val="20"/>
          <w:szCs w:val="20"/>
        </w:rPr>
      </w:r>
    </w:p>
    <w:p>
      <w:pPr>
        <w:pStyle w:val="Corpodeltesto21"/>
        <w:rPr/>
      </w:pPr>
      <w:r>
        <w:rPr>
          <w:sz w:val="20"/>
          <w:szCs w:val="20"/>
        </w:rPr>
        <w:t>L’incarico prevede principalmente le seguenti caratteristiche:</w:t>
      </w:r>
    </w:p>
    <w:p>
      <w:pPr>
        <w:pStyle w:val="Corpodeltesto21"/>
        <w:rPr>
          <w:rFonts w:eastAsia="Lucida Sans Unicode" w:cs="Tahoma"/>
          <w:sz w:val="20"/>
          <w:szCs w:val="20"/>
          <w:u w:val="single"/>
          <w:lang w:bidi="ar-SA"/>
        </w:rPr>
      </w:pPr>
      <w:r>
        <w:rPr>
          <w:rFonts w:eastAsia="Lucida Sans Unicode" w:cs="Tahoma"/>
          <w:sz w:val="20"/>
          <w:szCs w:val="20"/>
          <w:u w:val="single"/>
          <w:lang w:bidi="ar-SA"/>
        </w:rPr>
        <w:t>coordinamento della sicurezza in fase di progettazione:</w:t>
      </w:r>
    </w:p>
    <w:p>
      <w:pPr>
        <w:pStyle w:val="Corpodeltesto21"/>
        <w:rPr>
          <w:rFonts w:eastAsia="Lucida Sans Unicode" w:cs="Tahoma"/>
          <w:sz w:val="20"/>
          <w:szCs w:val="20"/>
          <w:lang w:bidi="ar-SA"/>
        </w:rPr>
      </w:pPr>
      <w:r>
        <w:rPr>
          <w:rFonts w:eastAsia="Lucida Sans Unicode" w:cs="Tahoma"/>
          <w:sz w:val="20"/>
          <w:szCs w:val="20"/>
          <w:lang w:bidi="ar-SA"/>
        </w:rPr>
        <w:t>- analisi delle condizioni ambientali d’intervento</w:t>
      </w:r>
    </w:p>
    <w:p>
      <w:pPr>
        <w:pStyle w:val="Corpodeltesto21"/>
        <w:rPr>
          <w:rFonts w:eastAsia="Lucida Sans Unicode" w:cs="Tahoma"/>
          <w:sz w:val="20"/>
          <w:szCs w:val="20"/>
          <w:lang w:bidi="ar-SA"/>
        </w:rPr>
      </w:pPr>
      <w:r>
        <w:rPr>
          <w:rFonts w:eastAsia="Lucida Sans Unicode" w:cs="Tahoma"/>
          <w:sz w:val="20"/>
          <w:szCs w:val="20"/>
          <w:lang w:bidi="ar-SA"/>
        </w:rPr>
        <w:t xml:space="preserve">- analisi delle interferenze tra l’esecuzione delle opere </w:t>
      </w:r>
      <w:r>
        <w:rPr>
          <w:rFonts w:eastAsia="Lucida Sans Unicode" w:cs="Tahoma"/>
          <w:sz w:val="20"/>
          <w:szCs w:val="20"/>
          <w:lang w:bidi="ar-SA"/>
        </w:rPr>
        <w:t>e</w:t>
      </w:r>
      <w:r>
        <w:rPr>
          <w:rFonts w:eastAsia="Lucida Sans Unicode" w:cs="Tahoma"/>
          <w:sz w:val="20"/>
          <w:szCs w:val="20"/>
          <w:lang w:bidi="ar-SA"/>
        </w:rPr>
        <w:t xml:space="preserve">dili ed impiantistiche </w:t>
      </w:r>
    </w:p>
    <w:p>
      <w:pPr>
        <w:pStyle w:val="Corpodeltesto21"/>
        <w:rPr>
          <w:rFonts w:eastAsia="Lucida Sans Unicode" w:cs="Tahoma"/>
          <w:sz w:val="20"/>
          <w:szCs w:val="20"/>
          <w:lang w:bidi="ar-SA"/>
        </w:rPr>
      </w:pPr>
      <w:r>
        <w:rPr>
          <w:rFonts w:eastAsia="Lucida Sans Unicode" w:cs="Tahoma"/>
          <w:sz w:val="20"/>
          <w:szCs w:val="20"/>
          <w:lang w:bidi="ar-SA"/>
        </w:rPr>
        <w:t>- analisi della fase operativa</w:t>
      </w:r>
    </w:p>
    <w:p>
      <w:pPr>
        <w:pStyle w:val="Corpodeltesto21"/>
        <w:rPr>
          <w:rFonts w:eastAsia="Lucida Sans Unicode" w:cs="Tahoma"/>
          <w:sz w:val="20"/>
          <w:szCs w:val="20"/>
          <w:lang w:bidi="ar-SA"/>
        </w:rPr>
      </w:pPr>
      <w:r>
        <w:rPr>
          <w:rFonts w:eastAsia="Lucida Sans Unicode" w:cs="Tahoma"/>
          <w:sz w:val="20"/>
          <w:szCs w:val="20"/>
          <w:lang w:bidi="ar-SA"/>
        </w:rPr>
        <w:t xml:space="preserve">- verifica di idoneità tecnica – organizzativa delle imprese </w:t>
      </w:r>
    </w:p>
    <w:p>
      <w:pPr>
        <w:pStyle w:val="Corpodeltesto21"/>
        <w:rPr>
          <w:rFonts w:eastAsia="Lucida Sans Unicode" w:cs="Tahoma"/>
          <w:sz w:val="20"/>
          <w:szCs w:val="20"/>
          <w:lang w:bidi="ar-SA"/>
        </w:rPr>
      </w:pPr>
      <w:r>
        <w:rPr>
          <w:rFonts w:eastAsia="Lucida Sans Unicode" w:cs="Tahoma"/>
          <w:sz w:val="20"/>
          <w:szCs w:val="20"/>
          <w:lang w:bidi="ar-SA"/>
        </w:rPr>
        <w:t>- verifica degli schemi dei contratti d’appalto</w:t>
      </w:r>
    </w:p>
    <w:p>
      <w:pPr>
        <w:pStyle w:val="Corpodeltesto21"/>
        <w:rPr>
          <w:rFonts w:eastAsia="Lucida Sans Unicode" w:cs="Tahoma"/>
          <w:sz w:val="20"/>
          <w:szCs w:val="20"/>
          <w:lang w:bidi="ar-SA"/>
        </w:rPr>
      </w:pPr>
      <w:r>
        <w:rPr>
          <w:rFonts w:eastAsia="Lucida Sans Unicode" w:cs="Tahoma"/>
          <w:sz w:val="20"/>
          <w:szCs w:val="20"/>
          <w:lang w:bidi="ar-SA"/>
        </w:rPr>
        <w:t>- elaborazione del “crono programma” dei lavori</w:t>
      </w:r>
    </w:p>
    <w:p>
      <w:pPr>
        <w:pStyle w:val="Corpodeltesto21"/>
        <w:rPr>
          <w:sz w:val="20"/>
          <w:szCs w:val="20"/>
        </w:rPr>
      </w:pPr>
      <w:r>
        <w:rPr>
          <w:rFonts w:eastAsia="Lucida Sans Unicode" w:cs="Tahoma"/>
          <w:kern w:val="0"/>
          <w:sz w:val="20"/>
          <w:szCs w:val="20"/>
          <w:lang w:bidi="ar-SA"/>
        </w:rPr>
        <w:t>- elaborazione dei Piano di Sicurezza e di Coordinamento e relativi elaborati</w:t>
      </w:r>
    </w:p>
    <w:p>
      <w:pPr>
        <w:pStyle w:val="Corpodeltesto21"/>
        <w:rPr>
          <w:sz w:val="20"/>
          <w:szCs w:val="20"/>
        </w:rPr>
      </w:pPr>
      <w:r>
        <w:rPr>
          <w:sz w:val="20"/>
          <w:szCs w:val="20"/>
        </w:rPr>
      </w:r>
    </w:p>
    <w:p>
      <w:pPr>
        <w:pStyle w:val="Corpodeltesto21"/>
        <w:rPr/>
      </w:pPr>
      <w:r>
        <w:rPr>
          <w:sz w:val="20"/>
          <w:szCs w:val="20"/>
        </w:rPr>
        <w:t>L’Operatore Economico si impegna a produrre i sotto riportati documenti:</w:t>
      </w:r>
      <w:r>
        <w:rPr>
          <w:b/>
          <w:bCs/>
          <w:sz w:val="20"/>
          <w:szCs w:val="20"/>
        </w:rPr>
        <w:fldChar w:fldCharType="begin"/>
      </w:r>
      <w:r>
        <w:rPr>
          <w:sz w:val="20"/>
          <w:b/>
          <w:szCs w:val="20"/>
          <w:bCs/>
        </w:rPr>
        <w:instrText> MERGEFIELD Formula_per_Studi_di_fattibilità </w:instrText>
      </w:r>
      <w:r>
        <w:rPr>
          <w:sz w:val="20"/>
          <w:b/>
          <w:szCs w:val="20"/>
          <w:bCs/>
        </w:rPr>
        <w:fldChar w:fldCharType="separate"/>
      </w:r>
      <w:r>
        <w:rPr>
          <w:sz w:val="20"/>
          <w:b/>
          <w:szCs w:val="20"/>
          <w:bCs/>
        </w:rPr>
      </w:r>
      <w:r>
        <w:rPr>
          <w:sz w:val="20"/>
          <w:b/>
          <w:szCs w:val="20"/>
          <w:bCs/>
        </w:rPr>
        <w:fldChar w:fldCharType="end"/>
      </w:r>
      <w:r>
        <w:rPr>
          <w:bCs/>
          <w:sz w:val="20"/>
          <w:szCs w:val="20"/>
        </w:rPr>
        <w:fldChar w:fldCharType="begin"/>
      </w:r>
      <w:r>
        <w:rPr>
          <w:sz w:val="20"/>
          <w:szCs w:val="20"/>
          <w:bCs/>
        </w:rPr>
        <w:instrText> MERGEFIELD Formula_per_QaI01_Relazione_illustrati </w:instrText>
      </w:r>
      <w:r>
        <w:rPr>
          <w:sz w:val="20"/>
          <w:szCs w:val="20"/>
          <w:bCs/>
        </w:rPr>
        <w:fldChar w:fldCharType="separate"/>
      </w:r>
      <w:r>
        <w:rPr>
          <w:sz w:val="20"/>
          <w:szCs w:val="20"/>
          <w:bCs/>
        </w:rPr>
      </w:r>
      <w:r>
        <w:rPr>
          <w:sz w:val="20"/>
          <w:szCs w:val="20"/>
          <w:bCs/>
        </w:rPr>
        <w:fldChar w:fldCharType="end"/>
      </w:r>
    </w:p>
    <w:p>
      <w:pPr>
        <w:pStyle w:val="Corpodeltesto21"/>
        <w:rPr/>
      </w:pPr>
      <w:r>
        <w:rPr>
          <w:bCs/>
          <w:sz w:val="20"/>
          <w:szCs w:val="20"/>
        </w:rPr>
        <w:fldChar w:fldCharType="begin"/>
      </w:r>
      <w:r>
        <w:rPr>
          <w:sz w:val="20"/>
          <w:szCs w:val="20"/>
          <w:bCs/>
        </w:rPr>
        <w:instrText> MERGEFIELD Formula_per_QcI08_Variante_del_progett </w:instrText>
      </w:r>
      <w:r>
        <w:rPr>
          <w:sz w:val="20"/>
          <w:szCs w:val="20"/>
          <w:bCs/>
        </w:rPr>
        <w:fldChar w:fldCharType="separate"/>
      </w:r>
      <w:r>
        <w:rPr>
          <w:sz w:val="20"/>
          <w:szCs w:val="20"/>
          <w:bCs/>
        </w:rPr>
      </w:r>
      <w:r>
        <w:rPr>
          <w:sz w:val="20"/>
          <w:szCs w:val="20"/>
          <w:bCs/>
        </w:rPr>
        <w:fldChar w:fldCharType="end"/>
      </w:r>
    </w:p>
    <w:p>
      <w:pPr>
        <w:pStyle w:val="Corpodeltesto21"/>
        <w:rPr>
          <w:sz w:val="20"/>
          <w:szCs w:val="20"/>
        </w:rPr>
      </w:pPr>
      <w:r>
        <w:rPr>
          <w:sz w:val="20"/>
          <w:szCs w:val="20"/>
        </w:rPr>
        <w:t>Il Piano di Sicurezza e di Coordinamento con i relativi elaborati, così come il Cronoprogramma;</w:t>
      </w:r>
    </w:p>
    <w:p>
      <w:pPr>
        <w:pStyle w:val="Corpodeltesto21"/>
        <w:rPr>
          <w:bCs/>
          <w:sz w:val="20"/>
          <w:szCs w:val="20"/>
        </w:rPr>
      </w:pPr>
      <w:r>
        <w:rPr>
          <w:bCs/>
          <w:sz w:val="20"/>
          <w:szCs w:val="20"/>
        </w:rPr>
      </w:r>
    </w:p>
    <w:p>
      <w:pPr>
        <w:pStyle w:val="Corpodeltesto21"/>
        <w:rPr/>
      </w:pPr>
      <w:r>
        <w:rPr>
          <w:sz w:val="20"/>
          <w:szCs w:val="20"/>
        </w:rPr>
        <w:t>Tutti gli elaborati prodotti, sia analitici (relazioni, calcoli, contabilità, ecc.) che tecnici (elaborati grafici, particolari, ecc.), dovranno essere prodotti dal Professionista all’Amministrazione Provinciale:</w:t>
      </w:r>
    </w:p>
    <w:p>
      <w:pPr>
        <w:pStyle w:val="Corpodeltesto21"/>
        <w:numPr>
          <w:ilvl w:val="0"/>
          <w:numId w:val="1"/>
        </w:numPr>
        <w:rPr/>
      </w:pPr>
      <w:r>
        <w:rPr>
          <w:sz w:val="20"/>
          <w:szCs w:val="20"/>
        </w:rPr>
        <w:t>in formato cartaceo (almeno una copia);</w:t>
      </w:r>
    </w:p>
    <w:p>
      <w:pPr>
        <w:pStyle w:val="Corpodeltesto21"/>
        <w:numPr>
          <w:ilvl w:val="0"/>
          <w:numId w:val="1"/>
        </w:numPr>
        <w:rPr/>
      </w:pPr>
      <w:r>
        <w:rPr>
          <w:sz w:val="20"/>
          <w:szCs w:val="20"/>
        </w:rPr>
        <w:t>in formato elettronico, sotto forma di documenti digital,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pPr>
        <w:pStyle w:val="Corpodeltesto21"/>
        <w:rPr>
          <w:sz w:val="20"/>
          <w:szCs w:val="20"/>
        </w:rPr>
      </w:pPr>
      <w:r>
        <w:rPr>
          <w:sz w:val="20"/>
          <w:szCs w:val="20"/>
        </w:rPr>
      </w:r>
    </w:p>
    <w:p>
      <w:pPr>
        <w:pStyle w:val="Corpodeltesto21"/>
        <w:rPr/>
      </w:pPr>
      <w:r>
        <w:rPr>
          <w:sz w:val="20"/>
          <w:szCs w:val="20"/>
        </w:rPr>
        <w:t>Al fine di permettere una rapida gestione dei documenti, in particolare di quelli progettuali (se previsti nell’incarico), tutti gli elaborati forniti digitalmente:</w:t>
      </w:r>
    </w:p>
    <w:p>
      <w:pPr>
        <w:pStyle w:val="Corpodeltesto21"/>
        <w:numPr>
          <w:ilvl w:val="0"/>
          <w:numId w:val="2"/>
        </w:numPr>
        <w:rPr/>
      </w:pPr>
      <w:r>
        <w:rPr>
          <w:sz w:val="20"/>
          <w:szCs w:val="20"/>
        </w:rPr>
        <w:t>non dovranno contenere nel nome caratteri speciali;</w:t>
      </w:r>
    </w:p>
    <w:p>
      <w:pPr>
        <w:pStyle w:val="Corpodeltesto21"/>
        <w:numPr>
          <w:ilvl w:val="0"/>
          <w:numId w:val="2"/>
        </w:numPr>
        <w:rPr/>
      </w:pPr>
      <w:r>
        <w:rPr>
          <w:sz w:val="20"/>
          <w:szCs w:val="20"/>
        </w:rPr>
        <w:t xml:space="preserve">se i files in consegna </w:t>
      </w:r>
      <w:r>
        <w:rPr>
          <w:rFonts w:eastAsia="Times New Roman"/>
          <w:sz w:val="20"/>
          <w:szCs w:val="20"/>
        </w:rPr>
        <w:t xml:space="preserve">sono </w:t>
      </w:r>
      <w:r>
        <w:rPr>
          <w:sz w:val="20"/>
          <w:szCs w:val="20"/>
        </w:rPr>
        <w:t xml:space="preserve">numericamente maggiori di 5, dovranno essere raccolti in un archivio in formato .ZIP </w:t>
      </w:r>
      <w:r>
        <w:rPr>
          <w:rFonts w:eastAsia="Times New Roman"/>
          <w:sz w:val="20"/>
          <w:szCs w:val="20"/>
        </w:rPr>
        <w:t xml:space="preserve">di </w:t>
      </w:r>
      <w:r>
        <w:rPr>
          <w:sz w:val="20"/>
          <w:szCs w:val="20"/>
        </w:rPr>
        <w:t>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pPr>
        <w:pStyle w:val="Corpodeltesto21"/>
        <w:numPr>
          <w:ilvl w:val="0"/>
          <w:numId w:val="2"/>
        </w:numPr>
        <w:rPr/>
      </w:pPr>
      <w:r>
        <w:rPr>
          <w:sz w:val="20"/>
          <w:szCs w:val="20"/>
        </w:rPr>
        <w:t>ad ogni invio dovrà essere allegato un elenco dei file trasmessi con individuazione della relativa estensione.</w:t>
      </w:r>
    </w:p>
    <w:p>
      <w:pPr>
        <w:pStyle w:val="Corpodeltesto21"/>
        <w:rPr>
          <w:sz w:val="20"/>
          <w:szCs w:val="20"/>
        </w:rPr>
      </w:pPr>
      <w:r>
        <w:rPr>
          <w:sz w:val="20"/>
          <w:szCs w:val="20"/>
        </w:rPr>
      </w:r>
    </w:p>
    <w:p>
      <w:pPr>
        <w:pStyle w:val="Corpodeltesto21"/>
        <w:rPr/>
      </w:pPr>
      <w:r>
        <w:rPr>
          <w:sz w:val="20"/>
          <w:szCs w:val="20"/>
        </w:rPr>
        <w:t>Ferma restando la proprietà intellettuale di quanto progettato, a favore del soggetto incaricato, l’Amministrazione è autorizzata all’utilizzazione piena ed esclusiva dei progetti, degli elaborati e dei risultati dell’incarico, e ciò anche in caso di affidamento a terzi di uno o più livelli progettuali, stante l’obbligo legislativo di aderenza e conformità tra i diversi gradi di progettazione.</w:t>
      </w:r>
    </w:p>
    <w:p>
      <w:pPr>
        <w:pStyle w:val="Corpodeltesto21"/>
        <w:rPr>
          <w:sz w:val="20"/>
          <w:szCs w:val="20"/>
        </w:rPr>
      </w:pPr>
      <w:r>
        <w:rPr>
          <w:sz w:val="20"/>
          <w:szCs w:val="20"/>
        </w:rPr>
      </w:r>
    </w:p>
    <w:p>
      <w:pPr>
        <w:pStyle w:val="Corpodeltesto21"/>
        <w:rPr/>
      </w:pPr>
      <w:r>
        <w:rPr>
          <w:sz w:val="20"/>
          <w:szCs w:val="20"/>
        </w:rP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pPr>
        <w:pStyle w:val="Corpodeltesto21"/>
        <w:rPr>
          <w:sz w:val="20"/>
          <w:szCs w:val="20"/>
        </w:rPr>
      </w:pPr>
      <w:r>
        <w:rPr>
          <w:sz w:val="20"/>
          <w:szCs w:val="20"/>
        </w:rPr>
      </w:r>
    </w:p>
    <w:p>
      <w:pPr>
        <w:pStyle w:val="Corpodeltesto21"/>
        <w:rPr/>
      </w:pPr>
      <w:r>
        <w:rPr>
          <w:rFonts w:eastAsia="Times New Roman"/>
          <w:sz w:val="20"/>
          <w:szCs w:val="20"/>
          <w:lang w:eastAsia="it-IT"/>
        </w:rPr>
        <w:t>In ogni caso, il professionista incaricato dovrà rigorosamente attenersi alle disposizioni impartite dal Responsabile Unico del Progetto individuato per l’appalto in oggetto.</w:t>
      </w:r>
    </w:p>
    <w:p>
      <w:pPr>
        <w:pStyle w:val="Corpodeltesto21"/>
        <w:rPr>
          <w:rFonts w:eastAsia="Times New Roman"/>
          <w:sz w:val="20"/>
          <w:szCs w:val="20"/>
          <w:lang w:eastAsia="it-IT"/>
        </w:rPr>
      </w:pPr>
      <w:r>
        <w:rPr>
          <w:rFonts w:eastAsia="Times New Roman"/>
          <w:sz w:val="20"/>
          <w:szCs w:val="20"/>
          <w:lang w:eastAsia="it-IT"/>
        </w:rPr>
      </w:r>
    </w:p>
    <w:p>
      <w:pPr>
        <w:pStyle w:val="Corpodeltesto21"/>
        <w:rPr/>
      </w:pPr>
      <w:r>
        <w:rPr>
          <w:rFonts w:eastAsia="Times New Roman"/>
          <w:sz w:val="20"/>
          <w:szCs w:val="20"/>
          <w:lang w:eastAsia="it-IT"/>
        </w:rPr>
        <w:t>Ferma restando la proprietà intellettuale di quanto predisposto dal Professionista, l’Amministrazione Provinciale è autorizzata alla utilizzazione piena ed esclusiva degli elaborati prodotti e risultanti dall’incarico.</w:t>
      </w:r>
      <w:bookmarkStart w:id="2" w:name="_Hlk168566626"/>
      <w:bookmarkEnd w:id="2"/>
    </w:p>
    <w:p>
      <w:pPr>
        <w:pStyle w:val="Titolo1"/>
        <w:rPr/>
      </w:pPr>
      <w:r>
        <w:rPr>
          <w:sz w:val="20"/>
          <w:szCs w:val="20"/>
        </w:rPr>
        <w:t>Articolo 2 – Tempi dell’incarico e penali</w:t>
      </w:r>
    </w:p>
    <w:p>
      <w:pPr>
        <w:pStyle w:val="Corpodeltesto21"/>
        <w:rPr/>
      </w:pPr>
      <w:r>
        <w:rPr>
          <w:sz w:val="20"/>
          <w:szCs w:val="20"/>
        </w:rPr>
        <w:t>La prestazione affidata all’Operatore Economico dovrà essere espletata entro 20 giorni dalla stipula.</w:t>
      </w:r>
    </w:p>
    <w:p>
      <w:pPr>
        <w:pStyle w:val="Corpodeltesto21"/>
        <w:rPr>
          <w:sz w:val="20"/>
          <w:szCs w:val="20"/>
        </w:rPr>
      </w:pPr>
      <w:r>
        <w:rPr>
          <w:sz w:val="20"/>
          <w:szCs w:val="20"/>
        </w:rPr>
      </w:r>
    </w:p>
    <w:p>
      <w:pPr>
        <w:pStyle w:val="Corpodeltesto21"/>
        <w:rPr/>
      </w:pPr>
      <w:r>
        <w:rPr>
          <w:sz w:val="20"/>
          <w:szCs w:val="20"/>
        </w:rP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pPr>
        <w:pStyle w:val="Corpodeltesto21"/>
        <w:rPr>
          <w:sz w:val="20"/>
          <w:szCs w:val="20"/>
        </w:rPr>
      </w:pPr>
      <w:r>
        <w:rPr>
          <w:sz w:val="20"/>
          <w:szCs w:val="20"/>
        </w:rPr>
      </w:r>
    </w:p>
    <w:p>
      <w:pPr>
        <w:pStyle w:val="Corpodeltesto21"/>
        <w:rPr/>
      </w:pPr>
      <w:r>
        <w:rPr>
          <w:sz w:val="20"/>
          <w:szCs w:val="20"/>
        </w:rPr>
        <w:t>In caso invece di ritardato adempimento imputabile all’Operatore Economico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pPr>
        <w:pStyle w:val="Corpodeltesto21"/>
        <w:rPr>
          <w:sz w:val="20"/>
          <w:szCs w:val="20"/>
        </w:rPr>
      </w:pPr>
      <w:r>
        <w:rPr>
          <w:sz w:val="20"/>
          <w:szCs w:val="20"/>
        </w:rPr>
      </w:r>
    </w:p>
    <w:p>
      <w:pPr>
        <w:pStyle w:val="Corpodeltesto21"/>
        <w:rPr/>
      </w:pPr>
      <w:r>
        <w:rPr>
          <w:sz w:val="20"/>
          <w:szCs w:val="20"/>
        </w:rP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w:t>
      </w:r>
    </w:p>
    <w:p>
      <w:pPr>
        <w:pStyle w:val="Corpodeltesto21"/>
        <w:rPr>
          <w:sz w:val="20"/>
          <w:szCs w:val="20"/>
        </w:rPr>
      </w:pPr>
      <w:r>
        <w:rPr>
          <w:sz w:val="20"/>
          <w:szCs w:val="20"/>
        </w:rPr>
      </w:r>
    </w:p>
    <w:p>
      <w:pPr>
        <w:pStyle w:val="Corpodeltesto21"/>
        <w:rPr/>
      </w:pPr>
      <w:r>
        <w:rPr>
          <w:sz w:val="20"/>
          <w:szCs w:val="20"/>
        </w:rPr>
        <w:t>L’Amministrazione, in caso di altre violazioni della presente disciplina, può comminare altri penali fermo restando che le penali non possono comunque superare il 10% (dieci per cento) dell’importo complessivo dei corrispettivi contrattuali.</w:t>
      </w:r>
    </w:p>
    <w:p>
      <w:pPr>
        <w:pStyle w:val="Corpodeltesto21"/>
        <w:rPr>
          <w:sz w:val="20"/>
          <w:szCs w:val="20"/>
        </w:rPr>
      </w:pPr>
      <w:r>
        <w:rPr>
          <w:sz w:val="20"/>
          <w:szCs w:val="20"/>
        </w:rPr>
      </w:r>
    </w:p>
    <w:p>
      <w:pPr>
        <w:pStyle w:val="Corpodeltesto21"/>
        <w:rPr/>
      </w:pPr>
      <w:r>
        <w:rPr>
          <w:sz w:val="20"/>
          <w:szCs w:val="20"/>
        </w:rPr>
        <w:t>La penale verrà applicata, a seguito di un contraddittorio con l’Aggiudicatario e potrà essere trattenuta da qualunque somma maturata a credito dell’Aggiudicatario medesimo in ragione del servizio eseguito.</w:t>
      </w:r>
    </w:p>
    <w:p>
      <w:pPr>
        <w:pStyle w:val="Titolo1"/>
        <w:rPr/>
      </w:pPr>
      <w:r>
        <w:rPr>
          <w:sz w:val="20"/>
          <w:szCs w:val="20"/>
        </w:rPr>
        <w:t>Articolo 3 – Corrispettivo</w:t>
      </w:r>
    </w:p>
    <w:p>
      <w:pPr>
        <w:pStyle w:val="Corpodeltesto21"/>
        <w:rPr/>
      </w:pPr>
      <w:r>
        <w:rPr>
          <w:color w:val="000000"/>
          <w:sz w:val="20"/>
          <w:szCs w:val="20"/>
        </w:rPr>
        <w:t xml:space="preserve">Il corrispettivo spettante </w:t>
      </w:r>
      <w:r>
        <w:rPr>
          <w:sz w:val="20"/>
          <w:szCs w:val="20"/>
        </w:rPr>
        <w:t xml:space="preserve">all’Operatore Economico </w:t>
      </w:r>
      <w:r>
        <w:rPr>
          <w:color w:val="000000"/>
          <w:sz w:val="20"/>
          <w:szCs w:val="20"/>
        </w:rPr>
        <w:t xml:space="preserve">per lo svolgimento dell’incarico è pari ad </w:t>
      </w:r>
      <w:r>
        <w:rPr>
          <w:b/>
          <w:bCs/>
          <w:sz w:val="20"/>
          <w:szCs w:val="20"/>
          <w:lang w:eastAsia="it-IT"/>
        </w:rPr>
        <w:t>€ 3.169,84</w:t>
      </w:r>
      <w:r>
        <w:rPr>
          <w:sz w:val="20"/>
          <w:szCs w:val="20"/>
          <w:lang w:eastAsia="it-IT"/>
        </w:rPr>
        <w:t xml:space="preserve"> </w:t>
      </w:r>
      <w:r>
        <w:rPr>
          <w:color w:val="000000"/>
          <w:sz w:val="20"/>
          <w:szCs w:val="20"/>
        </w:rPr>
        <w:t>(oneri e iva inclusi).</w:t>
      </w:r>
    </w:p>
    <w:p>
      <w:pPr>
        <w:pStyle w:val="Corpodeltesto21"/>
        <w:rPr>
          <w:sz w:val="20"/>
          <w:szCs w:val="20"/>
        </w:rPr>
      </w:pPr>
      <w:r>
        <w:rPr>
          <w:sz w:val="20"/>
          <w:szCs w:val="20"/>
        </w:rPr>
      </w:r>
    </w:p>
    <w:p>
      <w:pPr>
        <w:pStyle w:val="Corpodeltesto21"/>
        <w:rPr/>
      </w:pPr>
      <w:r>
        <w:rPr>
          <w:sz w:val="20"/>
          <w:szCs w:val="20"/>
        </w:rPr>
        <w:t>Tale importo è da considerarsi comprensivo delle spese ed è così suddiviso:</w:t>
      </w:r>
    </w:p>
    <w:p>
      <w:pPr>
        <w:pStyle w:val="Corpodeltesto21"/>
        <w:rPr>
          <w:sz w:val="20"/>
          <w:szCs w:val="20"/>
        </w:rPr>
      </w:pPr>
      <w:r>
        <w:rPr>
          <w:sz w:val="20"/>
          <w:szCs w:val="20"/>
        </w:rPr>
      </w:r>
    </w:p>
    <w:tbl>
      <w:tblPr>
        <w:tblW w:w="10313" w:type="dxa"/>
        <w:jc w:val="left"/>
        <w:tblInd w:w="30" w:type="dxa"/>
        <w:tblCellMar>
          <w:top w:w="0" w:type="dxa"/>
          <w:left w:w="30" w:type="dxa"/>
          <w:bottom w:w="0" w:type="dxa"/>
          <w:right w:w="30" w:type="dxa"/>
        </w:tblCellMar>
        <w:tblLook w:firstRow="0" w:noVBand="0" w:lastRow="0" w:firstColumn="0" w:lastColumn="0" w:noHBand="0" w:val="0000"/>
      </w:tblPr>
      <w:tblGrid>
        <w:gridCol w:w="4759"/>
        <w:gridCol w:w="2667"/>
        <w:gridCol w:w="2887"/>
      </w:tblGrid>
      <w:tr>
        <w:trPr>
          <w:trHeight w:val="315" w:hRule="atLeast"/>
        </w:trPr>
        <w:tc>
          <w:tcPr>
            <w:tcW w:w="4759" w:type="dxa"/>
            <w:tcBorders/>
            <w:vAlign w:val="bottom"/>
          </w:tcPr>
          <w:p>
            <w:pPr>
              <w:pStyle w:val="Corpodeltesto21"/>
              <w:rPr/>
            </w:pPr>
            <w:r>
              <w:rPr>
                <w:sz w:val="20"/>
                <w:szCs w:val="20"/>
              </w:rPr>
              <w:t>Compenso prestazione</w:t>
            </w:r>
          </w:p>
        </w:tc>
        <w:tc>
          <w:tcPr>
            <w:tcW w:w="2667" w:type="dxa"/>
            <w:tcBorders/>
            <w:vAlign w:val="bottom"/>
          </w:tcPr>
          <w:p>
            <w:pPr>
              <w:pStyle w:val="Corpodeltesto21"/>
              <w:snapToGrid w:val="false"/>
              <w:jc w:val="right"/>
              <w:rPr>
                <w:sz w:val="20"/>
                <w:szCs w:val="20"/>
              </w:rPr>
            </w:pPr>
            <w:r>
              <w:rPr>
                <w:sz w:val="20"/>
                <w:szCs w:val="20"/>
              </w:rPr>
            </w:r>
          </w:p>
        </w:tc>
        <w:tc>
          <w:tcPr>
            <w:tcW w:w="2887" w:type="dxa"/>
            <w:tcBorders/>
            <w:vAlign w:val="bottom"/>
          </w:tcPr>
          <w:p>
            <w:pPr>
              <w:pStyle w:val="Corpodeltesto21"/>
              <w:jc w:val="right"/>
              <w:rPr/>
            </w:pPr>
            <w:r>
              <w:rPr>
                <w:rFonts w:eastAsia="Times New Roman" w:cs="Mangal"/>
                <w:color w:val="000000"/>
                <w:sz w:val="20"/>
                <w:szCs w:val="20"/>
                <w:lang w:eastAsia="it-IT"/>
              </w:rPr>
              <w:t xml:space="preserve">2.498,30 </w:t>
            </w:r>
            <w:r>
              <w:rPr>
                <w:rFonts w:eastAsia="Times New Roman"/>
                <w:color w:val="000000"/>
                <w:sz w:val="20"/>
                <w:szCs w:val="20"/>
              </w:rPr>
              <w:t>€</w:t>
            </w:r>
          </w:p>
        </w:tc>
      </w:tr>
      <w:tr>
        <w:trPr>
          <w:trHeight w:val="315" w:hRule="atLeast"/>
        </w:trPr>
        <w:tc>
          <w:tcPr>
            <w:tcW w:w="4759" w:type="dxa"/>
            <w:tcBorders>
              <w:top w:val="single" w:sz="4" w:space="0" w:color="000000"/>
            </w:tcBorders>
            <w:vAlign w:val="bottom"/>
          </w:tcPr>
          <w:p>
            <w:pPr>
              <w:pStyle w:val="Corpodeltesto21"/>
              <w:rPr/>
            </w:pPr>
            <w:r>
              <w:rPr>
                <w:sz w:val="20"/>
                <w:szCs w:val="20"/>
              </w:rPr>
              <w:t xml:space="preserve">Imponibile </w:t>
            </w:r>
          </w:p>
        </w:tc>
        <w:tc>
          <w:tcPr>
            <w:tcW w:w="2667" w:type="dxa"/>
            <w:tcBorders>
              <w:top w:val="single" w:sz="4" w:space="0" w:color="000000"/>
            </w:tcBorders>
            <w:vAlign w:val="bottom"/>
          </w:tcPr>
          <w:p>
            <w:pPr>
              <w:pStyle w:val="Corpodeltesto21"/>
              <w:jc w:val="right"/>
              <w:rPr>
                <w:color w:val="000000"/>
                <w:spacing w:val="10"/>
                <w:sz w:val="20"/>
                <w:szCs w:val="20"/>
              </w:rPr>
            </w:pPr>
            <w:r>
              <w:rPr>
                <w:color w:val="000000"/>
                <w:spacing w:val="10"/>
                <w:sz w:val="20"/>
                <w:szCs w:val="20"/>
              </w:rPr>
            </w:r>
          </w:p>
        </w:tc>
        <w:tc>
          <w:tcPr>
            <w:tcW w:w="2887" w:type="dxa"/>
            <w:tcBorders>
              <w:top w:val="single" w:sz="4" w:space="0" w:color="000000"/>
            </w:tcBorders>
            <w:vAlign w:val="bottom"/>
          </w:tcPr>
          <w:p>
            <w:pPr>
              <w:pStyle w:val="Corpodeltesto21"/>
              <w:jc w:val="right"/>
              <w:rPr/>
            </w:pPr>
            <w:r>
              <w:rPr>
                <w:rFonts w:eastAsia="Times New Roman" w:cs="Mangal"/>
                <w:color w:val="000000"/>
                <w:sz w:val="20"/>
                <w:szCs w:val="20"/>
                <w:lang w:eastAsia="it-IT"/>
              </w:rPr>
              <w:t xml:space="preserve">2.498,30 </w:t>
            </w:r>
            <w:r>
              <w:rPr>
                <w:rFonts w:eastAsia="Times New Roman"/>
                <w:color w:val="000000"/>
                <w:sz w:val="20"/>
                <w:szCs w:val="20"/>
              </w:rPr>
              <w:t>€</w:t>
            </w:r>
          </w:p>
        </w:tc>
      </w:tr>
      <w:tr>
        <w:trPr>
          <w:trHeight w:val="315" w:hRule="atLeast"/>
        </w:trPr>
        <w:tc>
          <w:tcPr>
            <w:tcW w:w="4759" w:type="dxa"/>
            <w:tcBorders/>
            <w:tcMar>
              <w:left w:w="28" w:type="dxa"/>
              <w:right w:w="28" w:type="dxa"/>
            </w:tcMar>
            <w:vAlign w:val="bottom"/>
          </w:tcPr>
          <w:p>
            <w:pPr>
              <w:pStyle w:val="Corpodeltesto21"/>
              <w:rPr/>
            </w:pPr>
            <w:r>
              <w:rPr>
                <w:sz w:val="20"/>
                <w:szCs w:val="20"/>
              </w:rPr>
              <w:t>Cassa previdenziale (4%)</w:t>
            </w:r>
          </w:p>
        </w:tc>
        <w:tc>
          <w:tcPr>
            <w:tcW w:w="2667" w:type="dxa"/>
            <w:tcBorders/>
            <w:tcMar>
              <w:left w:w="28" w:type="dxa"/>
              <w:right w:w="28" w:type="dxa"/>
            </w:tcMar>
            <w:vAlign w:val="bottom"/>
          </w:tcPr>
          <w:p>
            <w:pPr>
              <w:pStyle w:val="Corpodeltesto21"/>
              <w:snapToGrid w:val="false"/>
              <w:jc w:val="right"/>
              <w:rPr>
                <w:sz w:val="20"/>
                <w:szCs w:val="20"/>
              </w:rPr>
            </w:pPr>
            <w:r>
              <w:rPr>
                <w:sz w:val="20"/>
                <w:szCs w:val="20"/>
              </w:rPr>
            </w:r>
          </w:p>
        </w:tc>
        <w:tc>
          <w:tcPr>
            <w:tcW w:w="2887" w:type="dxa"/>
            <w:tcBorders/>
            <w:tcMar>
              <w:left w:w="28" w:type="dxa"/>
              <w:right w:w="28" w:type="dxa"/>
            </w:tcMar>
            <w:vAlign w:val="bottom"/>
          </w:tcPr>
          <w:p>
            <w:pPr>
              <w:pStyle w:val="Corpodeltesto21"/>
              <w:jc w:val="right"/>
              <w:rPr/>
            </w:pPr>
            <w:r>
              <w:rPr>
                <w:rFonts w:eastAsia="Times New Roman"/>
                <w:color w:val="000000"/>
                <w:sz w:val="20"/>
                <w:szCs w:val="20"/>
              </w:rPr>
              <w:t>99,93 €</w:t>
            </w:r>
          </w:p>
        </w:tc>
      </w:tr>
      <w:tr>
        <w:trPr>
          <w:trHeight w:val="315" w:hRule="atLeast"/>
        </w:trPr>
        <w:tc>
          <w:tcPr>
            <w:tcW w:w="4759" w:type="dxa"/>
            <w:tcBorders/>
            <w:tcMar>
              <w:left w:w="28" w:type="dxa"/>
              <w:right w:w="28" w:type="dxa"/>
            </w:tcMar>
            <w:vAlign w:val="bottom"/>
          </w:tcPr>
          <w:p>
            <w:pPr>
              <w:pStyle w:val="Corpodeltesto21"/>
              <w:rPr>
                <w:sz w:val="20"/>
                <w:szCs w:val="20"/>
              </w:rPr>
            </w:pPr>
            <w:r>
              <w:rPr>
                <w:sz w:val="20"/>
                <w:szCs w:val="20"/>
              </w:rPr>
              <w:t>IVA (22%)</w:t>
            </w:r>
          </w:p>
        </w:tc>
        <w:tc>
          <w:tcPr>
            <w:tcW w:w="2667" w:type="dxa"/>
            <w:tcBorders/>
            <w:tcMar>
              <w:left w:w="28" w:type="dxa"/>
              <w:right w:w="28" w:type="dxa"/>
            </w:tcMar>
            <w:vAlign w:val="bottom"/>
          </w:tcPr>
          <w:p>
            <w:pPr>
              <w:pStyle w:val="Corpodeltesto21"/>
              <w:snapToGrid w:val="false"/>
              <w:jc w:val="right"/>
              <w:rPr>
                <w:sz w:val="20"/>
                <w:szCs w:val="20"/>
              </w:rPr>
            </w:pPr>
            <w:r>
              <w:rPr>
                <w:sz w:val="20"/>
                <w:szCs w:val="20"/>
              </w:rPr>
            </w:r>
          </w:p>
        </w:tc>
        <w:tc>
          <w:tcPr>
            <w:tcW w:w="2887" w:type="dxa"/>
            <w:tcBorders/>
            <w:tcMar>
              <w:left w:w="28" w:type="dxa"/>
              <w:right w:w="28" w:type="dxa"/>
            </w:tcMar>
            <w:vAlign w:val="bottom"/>
          </w:tcPr>
          <w:p>
            <w:pPr>
              <w:pStyle w:val="Corpodeltesto21"/>
              <w:jc w:val="right"/>
              <w:rPr>
                <w:rFonts w:eastAsia="Times New Roman"/>
                <w:color w:val="000000"/>
                <w:sz w:val="20"/>
                <w:szCs w:val="20"/>
              </w:rPr>
            </w:pPr>
            <w:r>
              <w:rPr>
                <w:rFonts w:eastAsia="Times New Roman"/>
                <w:color w:val="000000"/>
                <w:sz w:val="20"/>
                <w:szCs w:val="20"/>
              </w:rPr>
              <w:t>571,61 €</w:t>
            </w:r>
          </w:p>
        </w:tc>
      </w:tr>
      <w:tr>
        <w:trPr>
          <w:trHeight w:val="315" w:hRule="atLeast"/>
        </w:trPr>
        <w:tc>
          <w:tcPr>
            <w:tcW w:w="4759" w:type="dxa"/>
            <w:tcBorders>
              <w:top w:val="single" w:sz="4" w:space="0" w:color="000000"/>
            </w:tcBorders>
            <w:vAlign w:val="bottom"/>
          </w:tcPr>
          <w:p>
            <w:pPr>
              <w:pStyle w:val="Corpodeltesto21"/>
              <w:rPr/>
            </w:pPr>
            <w:r>
              <w:rPr>
                <w:b/>
                <w:bCs/>
                <w:sz w:val="20"/>
                <w:szCs w:val="20"/>
              </w:rPr>
              <w:t>Totale</w:t>
            </w:r>
          </w:p>
        </w:tc>
        <w:tc>
          <w:tcPr>
            <w:tcW w:w="2667" w:type="dxa"/>
            <w:tcBorders>
              <w:top w:val="single" w:sz="4" w:space="0" w:color="000000"/>
            </w:tcBorders>
            <w:vAlign w:val="bottom"/>
          </w:tcPr>
          <w:p>
            <w:pPr>
              <w:pStyle w:val="Corpodeltesto21"/>
              <w:jc w:val="right"/>
              <w:rPr>
                <w:color w:val="000000"/>
                <w:spacing w:val="10"/>
                <w:sz w:val="20"/>
                <w:szCs w:val="20"/>
              </w:rPr>
            </w:pPr>
            <w:r>
              <w:rPr>
                <w:color w:val="000000"/>
                <w:spacing w:val="10"/>
                <w:sz w:val="20"/>
                <w:szCs w:val="20"/>
              </w:rPr>
            </w:r>
          </w:p>
        </w:tc>
        <w:tc>
          <w:tcPr>
            <w:tcW w:w="2887" w:type="dxa"/>
            <w:tcBorders>
              <w:top w:val="single" w:sz="4" w:space="0" w:color="000000"/>
            </w:tcBorders>
            <w:vAlign w:val="bottom"/>
          </w:tcPr>
          <w:p>
            <w:pPr>
              <w:pStyle w:val="Corpodeltesto21"/>
              <w:jc w:val="right"/>
              <w:rPr/>
            </w:pPr>
            <w:r>
              <w:rPr>
                <w:b/>
                <w:bCs/>
                <w:sz w:val="20"/>
                <w:szCs w:val="20"/>
                <w:lang w:eastAsia="it-IT"/>
              </w:rPr>
              <w:t>3.169,84</w:t>
            </w:r>
            <w:r>
              <w:rPr>
                <w:sz w:val="20"/>
                <w:szCs w:val="20"/>
                <w:lang w:eastAsia="it-IT"/>
              </w:rPr>
              <w:t xml:space="preserve"> </w:t>
            </w:r>
            <w:r>
              <w:rPr>
                <w:rFonts w:eastAsia="Times New Roman"/>
                <w:b/>
                <w:bCs/>
                <w:color w:val="000000"/>
                <w:sz w:val="20"/>
                <w:szCs w:val="20"/>
              </w:rPr>
              <w:t>€</w:t>
            </w:r>
          </w:p>
        </w:tc>
      </w:tr>
      <w:tr>
        <w:trPr>
          <w:trHeight w:val="315" w:hRule="atLeast"/>
        </w:trPr>
        <w:tc>
          <w:tcPr>
            <w:tcW w:w="4759" w:type="dxa"/>
            <w:tcBorders>
              <w:top w:val="single" w:sz="4" w:space="0" w:color="000000"/>
            </w:tcBorders>
            <w:tcMar>
              <w:left w:w="28" w:type="dxa"/>
              <w:right w:w="28" w:type="dxa"/>
            </w:tcMar>
            <w:vAlign w:val="bottom"/>
          </w:tcPr>
          <w:p>
            <w:pPr>
              <w:pStyle w:val="Corpodeltesto21"/>
              <w:rPr>
                <w:b/>
                <w:b/>
                <w:bCs/>
                <w:sz w:val="20"/>
                <w:szCs w:val="20"/>
              </w:rPr>
            </w:pPr>
            <w:r>
              <w:rPr>
                <w:b/>
                <w:bCs/>
                <w:sz w:val="20"/>
                <w:szCs w:val="20"/>
              </w:rPr>
            </w:r>
          </w:p>
        </w:tc>
        <w:tc>
          <w:tcPr>
            <w:tcW w:w="2667" w:type="dxa"/>
            <w:tcBorders>
              <w:top w:val="single" w:sz="4" w:space="0" w:color="000000"/>
            </w:tcBorders>
            <w:tcMar>
              <w:left w:w="28" w:type="dxa"/>
              <w:right w:w="28" w:type="dxa"/>
            </w:tcMar>
            <w:vAlign w:val="bottom"/>
          </w:tcPr>
          <w:p>
            <w:pPr>
              <w:pStyle w:val="Corpodeltesto21"/>
              <w:snapToGrid w:val="false"/>
              <w:jc w:val="right"/>
              <w:rPr>
                <w:sz w:val="20"/>
                <w:szCs w:val="20"/>
              </w:rPr>
            </w:pPr>
            <w:r>
              <w:rPr>
                <w:sz w:val="20"/>
                <w:szCs w:val="20"/>
              </w:rPr>
            </w:r>
          </w:p>
        </w:tc>
        <w:tc>
          <w:tcPr>
            <w:tcW w:w="2887" w:type="dxa"/>
            <w:tcBorders>
              <w:top w:val="single" w:sz="4" w:space="0" w:color="000000"/>
            </w:tcBorders>
            <w:tcMar>
              <w:left w:w="28" w:type="dxa"/>
              <w:right w:w="28" w:type="dxa"/>
            </w:tcMar>
            <w:vAlign w:val="bottom"/>
          </w:tcPr>
          <w:p>
            <w:pPr>
              <w:pStyle w:val="Corpodeltesto21"/>
              <w:jc w:val="right"/>
              <w:rPr>
                <w:b/>
                <w:b/>
                <w:bCs/>
                <w:sz w:val="20"/>
                <w:szCs w:val="20"/>
              </w:rPr>
            </w:pPr>
            <w:r>
              <w:rPr>
                <w:b/>
                <w:bCs/>
                <w:sz w:val="20"/>
                <w:szCs w:val="20"/>
              </w:rPr>
            </w:r>
          </w:p>
        </w:tc>
      </w:tr>
    </w:tbl>
    <w:p>
      <w:pPr>
        <w:pStyle w:val="Corpodeltesto21"/>
        <w:rPr>
          <w:sz w:val="20"/>
          <w:szCs w:val="20"/>
        </w:rPr>
      </w:pPr>
      <w:r>
        <w:rPr>
          <w:sz w:val="20"/>
          <w:szCs w:val="20"/>
        </w:rPr>
      </w:r>
    </w:p>
    <w:p>
      <w:pPr>
        <w:pStyle w:val="Corpodeltesto21"/>
        <w:rPr/>
      </w:pPr>
      <w:r>
        <w:rPr>
          <w:sz w:val="20"/>
          <w:szCs w:val="20"/>
        </w:rPr>
        <w:t>Il contratto è stipulato “a corpo”. Il corrispettivo per il lavoro a corpo resta fisso e invariabile senza che possa essere invocata dalle parti contraenti alcuna verifica sulla misura o sul valore attribuito alla quantità di detti lavori. Pertanto, nessun compenso può essere richiesto per lavori, forniture e prestazioni che, ancorché non esplicitamente specificati nella descrizione dei lavori a corpo, siano rilevabili dagli elaborati grafici o viceversa. Lo stesso dicasi per lavori, forniture e prestazioni tecnicamente e intrinsecamente indispensabili alla funzionalità, completezza e corretta realizzazione dell'opera appaltata secondo la regola dell'arte.</w:t>
      </w:r>
    </w:p>
    <w:p>
      <w:pPr>
        <w:pStyle w:val="Titolo1"/>
        <w:shd w:val="clear" w:color="auto" w:fill="auto"/>
        <w:spacing w:before="360" w:after="227"/>
        <w:rPr/>
      </w:pPr>
      <w:r>
        <w:rPr>
          <w:sz w:val="20"/>
          <w:szCs w:val="20"/>
        </w:rPr>
        <w:t>Articolo 4 – Pagamenti</w:t>
      </w:r>
    </w:p>
    <w:p>
      <w:pPr>
        <w:pStyle w:val="Corpodeltesto21"/>
        <w:rPr/>
      </w:pPr>
      <w:r>
        <w:rPr>
          <w:sz w:val="20"/>
          <w:szCs w:val="20"/>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Progetto.</w:t>
      </w:r>
    </w:p>
    <w:p>
      <w:pPr>
        <w:pStyle w:val="Corpodeltesto21"/>
        <w:rPr>
          <w:sz w:val="20"/>
          <w:szCs w:val="20"/>
        </w:rPr>
      </w:pPr>
      <w:r>
        <w:rPr>
          <w:sz w:val="20"/>
          <w:szCs w:val="20"/>
        </w:rPr>
      </w:r>
    </w:p>
    <w:p>
      <w:pPr>
        <w:pStyle w:val="Corpodeltesto21"/>
        <w:rPr/>
      </w:pPr>
      <w:r>
        <w:rPr>
          <w:sz w:val="20"/>
          <w:szCs w:val="20"/>
        </w:rPr>
        <w:t xml:space="preserve">I pagamenti verranno corrisposti come di seguito: </w:t>
      </w:r>
    </w:p>
    <w:p>
      <w:pPr>
        <w:pStyle w:val="ListParagraph"/>
        <w:numPr>
          <w:ilvl w:val="0"/>
          <w:numId w:val="5"/>
        </w:numPr>
        <w:jc w:val="both"/>
        <w:rPr>
          <w:rFonts w:eastAsia="Verdana"/>
          <w:sz w:val="20"/>
          <w:szCs w:val="20"/>
        </w:rPr>
      </w:pPr>
      <w:r>
        <w:rPr>
          <w:rFonts w:eastAsia="Verdana"/>
          <w:sz w:val="20"/>
          <w:szCs w:val="20"/>
        </w:rPr>
        <w:t xml:space="preserve">il 100% dell’importo, all’approvazione del progetto esecutivo (o entro 3 mesi dalla sua consegna) </w:t>
      </w:r>
    </w:p>
    <w:p>
      <w:pPr>
        <w:pStyle w:val="Normal"/>
        <w:rPr>
          <w:rFonts w:ascii="Verdana" w:hAnsi="Verdana"/>
          <w:sz w:val="20"/>
          <w:szCs w:val="20"/>
        </w:rPr>
      </w:pPr>
      <w:r>
        <w:rPr>
          <w:rFonts w:ascii="Verdana" w:hAnsi="Verdana"/>
          <w:sz w:val="20"/>
          <w:szCs w:val="20"/>
        </w:rPr>
      </w:r>
    </w:p>
    <w:p>
      <w:pPr>
        <w:pStyle w:val="Corpodeltesto21"/>
        <w:rPr/>
      </w:pPr>
      <w:r>
        <w:rPr>
          <w:sz w:val="20"/>
          <w:szCs w:val="20"/>
        </w:rPr>
        <w:t xml:space="preserve">La fattura, da presentarsi esclusivamente in modalità elettronica, dovrà riportare il numero dell’atto di affidamento, il codice CIG e il codice CUP </w:t>
      </w:r>
      <w:r>
        <w:rPr>
          <w:rFonts w:eastAsia="Times New Roman"/>
          <w:sz w:val="20"/>
          <w:szCs w:val="20"/>
        </w:rPr>
        <w:t xml:space="preserve">collegati </w:t>
      </w:r>
      <w:r>
        <w:rPr>
          <w:sz w:val="20"/>
          <w:szCs w:val="20"/>
        </w:rPr>
        <w:t>al presente incarico.</w:t>
      </w:r>
    </w:p>
    <w:p>
      <w:pPr>
        <w:pStyle w:val="Corpodeltesto21"/>
        <w:rPr>
          <w:sz w:val="20"/>
          <w:szCs w:val="20"/>
        </w:rPr>
      </w:pPr>
      <w:r>
        <w:rPr>
          <w:sz w:val="20"/>
          <w:szCs w:val="20"/>
        </w:rPr>
      </w:r>
    </w:p>
    <w:p>
      <w:pPr>
        <w:pStyle w:val="Corpodeltesto21"/>
        <w:rPr/>
      </w:pPr>
      <w:r>
        <w:rPr>
          <w:sz w:val="20"/>
          <w:szCs w:val="20"/>
        </w:rPr>
        <w:t xml:space="preserve">La liquidazione delle fatture </w:t>
      </w:r>
      <w:r>
        <w:rPr>
          <w:rFonts w:eastAsia="Times New Roman"/>
          <w:sz w:val="20"/>
          <w:szCs w:val="20"/>
        </w:rPr>
        <w:t xml:space="preserve">rimane </w:t>
      </w:r>
      <w:r>
        <w:rPr>
          <w:sz w:val="20"/>
          <w:szCs w:val="20"/>
        </w:rPr>
        <w:t>subordinata all’acquisizione, con esito regolare, dei documenti (DURC) attestanti la regolarità contributiva.</w:t>
      </w:r>
    </w:p>
    <w:p>
      <w:pPr>
        <w:pStyle w:val="Corpodeltesto21"/>
        <w:rPr>
          <w:sz w:val="20"/>
          <w:szCs w:val="20"/>
        </w:rPr>
      </w:pPr>
      <w:r>
        <w:rPr>
          <w:sz w:val="20"/>
          <w:szCs w:val="20"/>
        </w:rPr>
      </w:r>
    </w:p>
    <w:p>
      <w:pPr>
        <w:pStyle w:val="Corpodeltesto21"/>
        <w:rPr/>
      </w:pPr>
      <w:r>
        <w:rPr>
          <w:sz w:val="20"/>
          <w:szCs w:val="20"/>
        </w:rPr>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pPr>
        <w:pStyle w:val="Corpodeltesto21"/>
        <w:rPr>
          <w:sz w:val="20"/>
          <w:szCs w:val="20"/>
        </w:rPr>
      </w:pPr>
      <w:r>
        <w:rPr>
          <w:sz w:val="20"/>
          <w:szCs w:val="20"/>
        </w:rPr>
      </w:r>
    </w:p>
    <w:p>
      <w:pPr>
        <w:pStyle w:val="Corpodeltesto21"/>
        <w:rPr/>
      </w:pPr>
      <w:r>
        <w:rPr>
          <w:sz w:val="20"/>
          <w:szCs w:val="20"/>
        </w:rPr>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pPr>
        <w:pStyle w:val="Titolo1"/>
        <w:rPr/>
      </w:pPr>
      <w:r>
        <w:rPr>
          <w:sz w:val="20"/>
          <w:szCs w:val="20"/>
        </w:rPr>
        <w:t>Articolo 5 - Tracciabilità dei flussi finanziari</w:t>
      </w:r>
    </w:p>
    <w:p>
      <w:pPr>
        <w:pStyle w:val="Corpodeltesto21"/>
        <w:rPr/>
      </w:pPr>
      <w:r>
        <w:rPr>
          <w:sz w:val="20"/>
          <w:szCs w:val="20"/>
        </w:rPr>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mancato utilizzo di tali strumenti comporterà la risoluzione di diritto del contratto. </w:t>
      </w:r>
    </w:p>
    <w:p>
      <w:pPr>
        <w:pStyle w:val="Corpodeltesto21"/>
        <w:rPr/>
      </w:pPr>
      <w:r>
        <w:rPr>
          <w:sz w:val="20"/>
          <w:szCs w:val="20"/>
        </w:rPr>
        <w:t xml:space="preserve">Ogni transazione deve riportare il codice identificativo gara (CIG) </w:t>
      </w:r>
      <w:r>
        <w:rPr>
          <w:rFonts w:eastAsia="Mangal"/>
          <w:color w:val="000000"/>
          <w:sz w:val="20"/>
          <w:szCs w:val="20"/>
          <w:lang w:eastAsia="it-IT"/>
        </w:rPr>
        <w:t>B7A5905DEB.</w:t>
      </w:r>
    </w:p>
    <w:p>
      <w:pPr>
        <w:pStyle w:val="Corpodeltesto21"/>
        <w:rPr/>
      </w:pPr>
      <w:r>
        <w:rPr>
          <w:sz w:val="20"/>
          <w:szCs w:val="20"/>
        </w:rPr>
        <w:t>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p>
    <w:p>
      <w:pPr>
        <w:pStyle w:val="Titolo1"/>
        <w:rPr/>
      </w:pPr>
      <w:r>
        <w:rPr>
          <w:sz w:val="20"/>
          <w:szCs w:val="20"/>
        </w:rPr>
        <w:t>Articolo 6 - Controversie</w:t>
      </w:r>
    </w:p>
    <w:p>
      <w:pPr>
        <w:pStyle w:val="Corpodeltesto21"/>
        <w:rPr/>
      </w:pPr>
      <w:r>
        <w:rPr>
          <w:sz w:val="20"/>
          <w:szCs w:val="20"/>
        </w:rPr>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pPr>
        <w:pStyle w:val="Corpodeltesto21"/>
        <w:rPr/>
      </w:pPr>
      <w:r>
        <w:rPr>
          <w:sz w:val="20"/>
          <w:szCs w:val="20"/>
        </w:rPr>
        <w:t>A tal fine si elegge foro competente in via esclusiva quello di Parma.</w:t>
      </w:r>
    </w:p>
    <w:p>
      <w:pPr>
        <w:pStyle w:val="Corpodeltesto21"/>
        <w:rPr/>
      </w:pPr>
      <w:r>
        <w:rPr>
          <w:sz w:val="20"/>
          <w:szCs w:val="20"/>
        </w:rPr>
        <w:t>Sono escluse la competenza arbitrale e la clausola compromissoria.</w:t>
      </w:r>
    </w:p>
    <w:p>
      <w:pPr>
        <w:pStyle w:val="Titolo1"/>
        <w:rPr/>
      </w:pPr>
      <w:r>
        <w:rPr>
          <w:sz w:val="20"/>
          <w:szCs w:val="20"/>
        </w:rPr>
        <w:t>Articolo 7 – Contratto – Revisione Prezzi – Modifiche – Recesso e risoluzione</w:t>
      </w:r>
    </w:p>
    <w:p>
      <w:pPr>
        <w:pStyle w:val="Corpodeltesto21"/>
        <w:rPr/>
      </w:pPr>
      <w:r>
        <w:rPr>
          <w:sz w:val="20"/>
          <w:szCs w:val="20"/>
        </w:rPr>
        <w:t>La presente lettera commerciale, redatta ai sensi dell’art. 18, comma 1, del Codice, in forma di scrittura privata, è da ritornare all’Amministrazione, debitamente firmata, e sarà registrata in caso d’uso, ai sensi di legge, a cura ed a spese della parte richiedente.</w:t>
      </w:r>
    </w:p>
    <w:p>
      <w:pPr>
        <w:pStyle w:val="Corpodeltesto21"/>
        <w:rPr>
          <w:sz w:val="20"/>
          <w:szCs w:val="20"/>
        </w:rPr>
      </w:pPr>
      <w:r>
        <w:rPr>
          <w:sz w:val="20"/>
          <w:szCs w:val="20"/>
        </w:rPr>
      </w:r>
    </w:p>
    <w:p>
      <w:pPr>
        <w:pStyle w:val="Corpodeltesto21"/>
        <w:rPr/>
      </w:pPr>
      <w:r>
        <w:rPr>
          <w:sz w:val="20"/>
          <w:szCs w:val="20"/>
        </w:rPr>
        <w:t>In materia di Revisione prezzi, si rinvia a quanto disposto dall’art. 60 del D.lgs. 36/2023 e ss.mm.ii.</w:t>
      </w:r>
    </w:p>
    <w:p>
      <w:pPr>
        <w:pStyle w:val="Corpodeltesto21"/>
        <w:rPr>
          <w:sz w:val="20"/>
          <w:szCs w:val="20"/>
        </w:rPr>
      </w:pPr>
      <w:r>
        <w:rPr>
          <w:sz w:val="20"/>
          <w:szCs w:val="20"/>
        </w:rPr>
      </w:r>
    </w:p>
    <w:p>
      <w:pPr>
        <w:pStyle w:val="Corpodeltesto21"/>
        <w:rPr/>
      </w:pPr>
      <w:r>
        <w:rPr>
          <w:sz w:val="20"/>
          <w:szCs w:val="20"/>
        </w:rPr>
        <w:t>In materia di Modifiche in corso di esecuzione, si</w:t>
      </w:r>
      <w:r>
        <w:rPr>
          <w:b/>
          <w:bCs/>
          <w:sz w:val="20"/>
          <w:szCs w:val="20"/>
        </w:rPr>
        <w:t xml:space="preserve"> </w:t>
      </w:r>
      <w:r>
        <w:rPr>
          <w:sz w:val="20"/>
          <w:szCs w:val="20"/>
        </w:rPr>
        <w:t>rinvia a quanto disposto dall’art. 120 del D.lgs. 36/2023 e ss.mm.ii.</w:t>
      </w:r>
    </w:p>
    <w:p>
      <w:pPr>
        <w:pStyle w:val="Corpodeltesto21"/>
        <w:rPr>
          <w:sz w:val="20"/>
          <w:szCs w:val="20"/>
        </w:rPr>
      </w:pPr>
      <w:r>
        <w:rPr>
          <w:sz w:val="20"/>
          <w:szCs w:val="20"/>
        </w:rPr>
      </w:r>
    </w:p>
    <w:p>
      <w:pPr>
        <w:pStyle w:val="Corpodeltesto21"/>
        <w:rPr/>
      </w:pPr>
      <w:r>
        <w:rPr>
          <w:sz w:val="20"/>
          <w:szCs w:val="20"/>
        </w:rPr>
        <w:t>In materia di Risoluzione e Recesso si rinvia a quanto disposto agli artt.122-123, del D.lgs. 36/2023 e ss.mm.ii.</w:t>
      </w:r>
    </w:p>
    <w:p>
      <w:pPr>
        <w:pStyle w:val="Titolo1"/>
        <w:rPr/>
      </w:pPr>
      <w:r>
        <w:rPr>
          <w:sz w:val="20"/>
          <w:szCs w:val="20"/>
        </w:rPr>
        <w:t>Articolo 8 – Trattamento dei dati personali</w:t>
      </w:r>
    </w:p>
    <w:p>
      <w:pPr>
        <w:pStyle w:val="Corpodeltesto21"/>
        <w:rPr/>
      </w:pPr>
      <w:r>
        <w:rPr>
          <w:sz w:val="20"/>
          <w:szCs w:val="20"/>
        </w:rPr>
        <w:t>Designa</w:t>
      </w:r>
      <w:r>
        <w:rPr>
          <w:rFonts w:eastAsia="Times New Roman"/>
          <w:sz w:val="20"/>
          <w:szCs w:val="20"/>
        </w:rPr>
        <w:t>to</w:t>
      </w:r>
      <w:r>
        <w:rPr>
          <w:sz w:val="20"/>
          <w:szCs w:val="20"/>
        </w:rPr>
        <w:t xml:space="preserve"> quale sub-responsabile del trattamento dei dati personali ai sensi</w:t>
      </w:r>
      <w:r>
        <w:rPr>
          <w:spacing w:val="-27"/>
          <w:sz w:val="20"/>
          <w:szCs w:val="20"/>
        </w:rPr>
        <w:t xml:space="preserve"> </w:t>
      </w:r>
      <w:r>
        <w:rPr>
          <w:sz w:val="20"/>
          <w:szCs w:val="20"/>
        </w:rPr>
        <w:t>del Regolamento U.E.</w:t>
      </w:r>
      <w:r>
        <w:rPr>
          <w:spacing w:val="-38"/>
          <w:sz w:val="20"/>
          <w:szCs w:val="20"/>
        </w:rPr>
        <w:t xml:space="preserve"> </w:t>
      </w:r>
      <w:r>
        <w:rPr>
          <w:sz w:val="20"/>
          <w:szCs w:val="20"/>
        </w:rPr>
        <w:t>679/2016 è l’Arch. Matteo Piovani.</w:t>
      </w:r>
    </w:p>
    <w:p>
      <w:pPr>
        <w:pStyle w:val="Corpodeltesto21"/>
        <w:rPr>
          <w:sz w:val="20"/>
          <w:szCs w:val="20"/>
        </w:rPr>
      </w:pPr>
      <w:r>
        <w:rPr>
          <w:sz w:val="20"/>
          <w:szCs w:val="20"/>
        </w:rPr>
      </w:r>
    </w:p>
    <w:p>
      <w:pPr>
        <w:pStyle w:val="Corpodeltesto21"/>
        <w:rPr/>
      </w:pPr>
      <w:r>
        <w:rPr>
          <w:sz w:val="20"/>
          <w:szCs w:val="20"/>
        </w:rPr>
        <w:t>In esecuzione del</w:t>
      </w:r>
      <w:r>
        <w:rPr>
          <w:spacing w:val="-25"/>
          <w:sz w:val="20"/>
          <w:szCs w:val="20"/>
        </w:rPr>
        <w:t xml:space="preserve"> </w:t>
      </w:r>
      <w:r>
        <w:rPr>
          <w:sz w:val="20"/>
          <w:szCs w:val="20"/>
        </w:rPr>
        <w:t>presente</w:t>
      </w:r>
      <w:r>
        <w:rPr>
          <w:spacing w:val="-26"/>
          <w:sz w:val="20"/>
          <w:szCs w:val="20"/>
        </w:rPr>
        <w:t xml:space="preserve"> </w:t>
      </w:r>
      <w:r>
        <w:rPr>
          <w:sz w:val="20"/>
          <w:szCs w:val="20"/>
        </w:rPr>
        <w:t>contratto, l’operatore economico effettua il trattamento</w:t>
      </w:r>
      <w:r>
        <w:rPr>
          <w:spacing w:val="-25"/>
          <w:sz w:val="20"/>
          <w:szCs w:val="20"/>
        </w:rPr>
        <w:t xml:space="preserve"> </w:t>
      </w:r>
      <w:r>
        <w:rPr>
          <w:sz w:val="20"/>
          <w:szCs w:val="20"/>
        </w:rPr>
        <w:t>di</w:t>
      </w:r>
      <w:r>
        <w:rPr>
          <w:spacing w:val="-26"/>
          <w:sz w:val="20"/>
          <w:szCs w:val="20"/>
        </w:rPr>
        <w:t xml:space="preserve"> </w:t>
      </w:r>
      <w:r>
        <w:rPr>
          <w:sz w:val="20"/>
          <w:szCs w:val="20"/>
        </w:rPr>
        <w:t>dati</w:t>
      </w:r>
      <w:r>
        <w:rPr>
          <w:spacing w:val="-26"/>
          <w:sz w:val="20"/>
          <w:szCs w:val="20"/>
        </w:rPr>
        <w:t xml:space="preserve"> </w:t>
      </w:r>
      <w:r>
        <w:rPr>
          <w:sz w:val="20"/>
          <w:szCs w:val="20"/>
        </w:rPr>
        <w:t>personali di titolarità</w:t>
      </w:r>
      <w:r>
        <w:rPr>
          <w:spacing w:val="-35"/>
          <w:sz w:val="20"/>
          <w:szCs w:val="20"/>
        </w:rPr>
        <w:t xml:space="preserve"> </w:t>
      </w:r>
      <w:r>
        <w:rPr>
          <w:sz w:val="20"/>
          <w:szCs w:val="20"/>
        </w:rPr>
        <w:t>dell’Ente.</w:t>
      </w:r>
    </w:p>
    <w:p>
      <w:pPr>
        <w:pStyle w:val="Corpodeltesto21"/>
        <w:rPr>
          <w:sz w:val="20"/>
          <w:szCs w:val="20"/>
        </w:rPr>
      </w:pPr>
      <w:r>
        <w:rPr>
          <w:sz w:val="20"/>
          <w:szCs w:val="20"/>
        </w:rPr>
      </w:r>
    </w:p>
    <w:p>
      <w:pPr>
        <w:pStyle w:val="Corpodeltesto21"/>
        <w:rPr/>
      </w:pPr>
      <w:r>
        <w:rPr>
          <w:sz w:val="20"/>
          <w:szCs w:val="20"/>
        </w:rPr>
        <w:t>L’operatore economico è designato dalla Provincia di Parma quale sub responsabile del trattamento dei dati personali</w:t>
      </w:r>
      <w:r>
        <w:rPr>
          <w:color w:val="000000"/>
          <w:sz w:val="20"/>
          <w:szCs w:val="20"/>
        </w:rPr>
        <w:t xml:space="preserve"> ai sensi e per gli effetti dell’art. 28 del Regolamento U.E. 679/2016, per il trattamento dei dati in oggetto.</w:t>
      </w:r>
    </w:p>
    <w:p>
      <w:pPr>
        <w:pStyle w:val="Corpodeltesto21"/>
        <w:rPr>
          <w:sz w:val="20"/>
          <w:szCs w:val="20"/>
        </w:rPr>
      </w:pPr>
      <w:r>
        <w:rPr>
          <w:sz w:val="20"/>
          <w:szCs w:val="20"/>
        </w:rPr>
      </w:r>
    </w:p>
    <w:p>
      <w:pPr>
        <w:pStyle w:val="Corpodeltesto21"/>
        <w:rPr/>
      </w:pPr>
      <w:r>
        <w:rPr>
          <w:sz w:val="20"/>
          <w:szCs w:val="20"/>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sostenere per conformarsi.</w:t>
      </w:r>
    </w:p>
    <w:p>
      <w:pPr>
        <w:pStyle w:val="Titolo1"/>
        <w:rPr/>
      </w:pPr>
      <w:r>
        <w:rPr>
          <w:sz w:val="20"/>
          <w:szCs w:val="20"/>
        </w:rPr>
        <w:t>Articolo 9 – Aspetti generali e Obblighi</w:t>
      </w:r>
    </w:p>
    <w:p>
      <w:pPr>
        <w:pStyle w:val="Corpodeltesto21"/>
        <w:rPr/>
      </w:pPr>
      <w:r>
        <w:rPr>
          <w:sz w:val="20"/>
          <w:szCs w:val="20"/>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pPr>
        <w:pStyle w:val="Corpodeltesto21"/>
        <w:numPr>
          <w:ilvl w:val="0"/>
          <w:numId w:val="3"/>
        </w:numPr>
        <w:ind w:left="0" w:hanging="0"/>
        <w:rPr/>
      </w:pPr>
      <w:r>
        <w:rPr>
          <w:sz w:val="20"/>
          <w:szCs w:val="20"/>
        </w:rPr>
        <w:t>L’obbligo di cui al precedente comma sussiste, altresì, relativamente a tutto il materiale originario o predisposto in esecuzione del Contratto.</w:t>
      </w:r>
    </w:p>
    <w:p>
      <w:pPr>
        <w:pStyle w:val="Corpodeltesto21"/>
        <w:numPr>
          <w:ilvl w:val="0"/>
          <w:numId w:val="3"/>
        </w:numPr>
        <w:ind w:left="0" w:hanging="0"/>
        <w:rPr/>
      </w:pPr>
      <w:r>
        <w:rPr>
          <w:sz w:val="20"/>
          <w:szCs w:val="20"/>
        </w:rPr>
        <w:t>L’obbligo di cui ai precedenti paragrafi non concerne i dati che siano o divengano di pubblico dominio.</w:t>
      </w:r>
    </w:p>
    <w:p>
      <w:pPr>
        <w:pStyle w:val="Corpodeltesto21"/>
        <w:numPr>
          <w:ilvl w:val="0"/>
          <w:numId w:val="8"/>
        </w:numPr>
        <w:ind w:left="0" w:hanging="0"/>
        <w:rPr/>
      </w:pPr>
      <w:r>
        <w:rPr>
          <w:sz w:val="20"/>
          <w:szCs w:val="20"/>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pPr>
        <w:pStyle w:val="Corpodeltesto21"/>
        <w:rPr>
          <w:sz w:val="20"/>
          <w:szCs w:val="20"/>
        </w:rPr>
      </w:pPr>
      <w:r>
        <w:rPr>
          <w:sz w:val="20"/>
          <w:szCs w:val="20"/>
        </w:rPr>
      </w:r>
    </w:p>
    <w:p>
      <w:pPr>
        <w:pStyle w:val="Corpodeltesto21"/>
        <w:numPr>
          <w:ilvl w:val="0"/>
          <w:numId w:val="8"/>
        </w:numPr>
        <w:ind w:left="0" w:hanging="0"/>
        <w:rPr/>
      </w:pPr>
      <w:r>
        <w:rPr>
          <w:sz w:val="20"/>
          <w:szCs w:val="20"/>
        </w:rPr>
        <w:t>L’operatore economico può utilizzare servizi di cloud pubblici ove memorizzare i dati e le informazioni trattate nell'espletamento del lavoro affidato, solo previa autorizzazione dell’Ente.</w:t>
      </w:r>
    </w:p>
    <w:p>
      <w:pPr>
        <w:pStyle w:val="Corpodeltesto21"/>
        <w:numPr>
          <w:ilvl w:val="0"/>
          <w:numId w:val="8"/>
        </w:numPr>
        <w:ind w:left="0" w:hanging="0"/>
        <w:rPr/>
      </w:pPr>
      <w:r>
        <w:rPr>
          <w:sz w:val="20"/>
          <w:szCs w:val="20"/>
        </w:rPr>
        <w:t>In caso di inosservanza degli obblighi descritti, l’Amministrazione ha facoltà di dichiarare risolto di diritto il Contratto, fermo restando che l’operatore economico sarà tenuto a risarcire tutti i danni che ne dovessero derivare.</w:t>
      </w:r>
    </w:p>
    <w:p>
      <w:pPr>
        <w:pStyle w:val="Corpodeltesto21"/>
        <w:numPr>
          <w:ilvl w:val="0"/>
          <w:numId w:val="8"/>
        </w:numPr>
        <w:ind w:left="0" w:hanging="0"/>
        <w:rPr/>
      </w:pPr>
      <w:r>
        <w:rPr>
          <w:sz w:val="20"/>
          <w:szCs w:val="20"/>
        </w:rPr>
        <w:t>Sarà possibile ogni operazione di auditing da parte della Amministrazione attinente alle procedure adottate dal Contraente in materia di riservatezza e degli altri obblighi assunti dal presente contratto.</w:t>
      </w:r>
    </w:p>
    <w:p>
      <w:pPr>
        <w:pStyle w:val="Corpodeltesto21"/>
        <w:numPr>
          <w:ilvl w:val="0"/>
          <w:numId w:val="8"/>
        </w:numPr>
        <w:ind w:left="0" w:hanging="0"/>
        <w:rPr/>
      </w:pPr>
      <w:r>
        <w:rPr>
          <w:sz w:val="20"/>
          <w:szCs w:val="20"/>
        </w:rPr>
        <w:t>L’operatore economico non potrà conservare copia di dati e programmi della Amministrazione, né alcuna documentazione inerente ad essi dopo la scadenza del Contratto e dovrà, su richiesta, ritrasmetterli all'Amministrazione.</w:t>
      </w:r>
    </w:p>
    <w:p>
      <w:pPr>
        <w:pStyle w:val="ListParagraph"/>
        <w:rPr>
          <w:sz w:val="20"/>
          <w:szCs w:val="20"/>
        </w:rPr>
      </w:pPr>
      <w:r>
        <w:rPr>
          <w:sz w:val="20"/>
          <w:szCs w:val="20"/>
        </w:rPr>
      </w:r>
    </w:p>
    <w:p>
      <w:pPr>
        <w:pStyle w:val="Corpodeltesto21"/>
        <w:rPr/>
      </w:pPr>
      <w:r>
        <w:rPr>
          <w:sz w:val="20"/>
          <w:szCs w:val="20"/>
        </w:rPr>
        <w:t xml:space="preserve">Nell’adempimento della prestazione, l’operatore economico deve porre in essere tutti i mezzi concettuali e operativi per il suo esatto e corretto adempimento, valutato alla stregua della </w:t>
      </w:r>
      <w:r>
        <w:rPr>
          <w:i/>
          <w:iCs/>
          <w:sz w:val="20"/>
          <w:szCs w:val="20"/>
        </w:rPr>
        <w:t xml:space="preserve">diligentia quam </w:t>
      </w:r>
      <w:r>
        <w:rPr>
          <w:sz w:val="20"/>
          <w:szCs w:val="20"/>
        </w:rPr>
        <w:t>in concreto.</w:t>
      </w:r>
    </w:p>
    <w:p>
      <w:pPr>
        <w:pStyle w:val="Corpodeltesto21"/>
        <w:rPr/>
      </w:pPr>
      <w:r>
        <w:rPr>
          <w:sz w:val="20"/>
          <w:szCs w:val="20"/>
        </w:rPr>
        <w:t xml:space="preserve">Nell’espletamento della prestazione, l’operatore economico si impegna a svolgere il compito assegnato secondo quanto stabilito dalla presente lettera commerciale. </w:t>
      </w:r>
    </w:p>
    <w:p>
      <w:pPr>
        <w:pStyle w:val="Corpodeltesto21"/>
        <w:rPr>
          <w:sz w:val="20"/>
          <w:szCs w:val="20"/>
        </w:rPr>
      </w:pPr>
      <w:r>
        <w:rPr>
          <w:sz w:val="20"/>
          <w:szCs w:val="20"/>
        </w:rPr>
      </w:r>
    </w:p>
    <w:p>
      <w:pPr>
        <w:pStyle w:val="Corpodeltesto21"/>
        <w:rPr/>
      </w:pPr>
      <w:r>
        <w:rPr>
          <w:sz w:val="20"/>
          <w:szCs w:val="20"/>
        </w:rPr>
        <w:t xml:space="preserve">Nel corso dell’espletamento della prestazione, </w:t>
      </w:r>
      <w:bookmarkStart w:id="3" w:name="_Hlk199155540"/>
      <w:r>
        <w:rPr>
          <w:sz w:val="20"/>
          <w:szCs w:val="20"/>
        </w:rPr>
        <w:t xml:space="preserve">l’operatore economico </w:t>
      </w:r>
      <w:bookmarkEnd w:id="3"/>
      <w:r>
        <w:rPr>
          <w:sz w:val="20"/>
          <w:szCs w:val="20"/>
        </w:rPr>
        <w:t>dovrà coordinarsi costantemente con il Responsabile Unico del Progetto (RUP), nominato ai sensi dell’art. 15 del Codice, individuato dall’Amministrazione, oppure ad altre persone all’uopo incaricate. Alle stesse figure l’operatore economico risponderà del proprio operato cui dovrà, senza ulteriori compensi, relazionare periodicamente su operazioni svolte e metodologie seguite.</w:t>
      </w:r>
    </w:p>
    <w:p>
      <w:pPr>
        <w:pStyle w:val="Corpodeltesto21"/>
        <w:rPr/>
      </w:pPr>
      <w:r>
        <w:rPr>
          <w:sz w:val="20"/>
          <w:szCs w:val="20"/>
        </w:rPr>
        <w:t>L’operatore economico dovrà comunque assicurare la propria collaborazione anche ai tecnici, siano essi dipendenti provinciali ovvero altri professionisti, incaricati per l’elaborazione o la realizzazione di altri progetti di opere interferenti con l’opera oggetto del presente contratto.</w:t>
      </w:r>
    </w:p>
    <w:p>
      <w:pPr>
        <w:pStyle w:val="Corpodeltesto21"/>
        <w:rPr>
          <w:sz w:val="20"/>
          <w:szCs w:val="20"/>
        </w:rPr>
      </w:pPr>
      <w:r>
        <w:rPr>
          <w:sz w:val="20"/>
          <w:szCs w:val="20"/>
        </w:rPr>
      </w:r>
    </w:p>
    <w:p>
      <w:pPr>
        <w:pStyle w:val="Corpodeltesto21"/>
        <w:rPr/>
      </w:pPr>
      <w:r>
        <w:rPr>
          <w:sz w:val="20"/>
          <w:szCs w:val="20"/>
        </w:rPr>
        <w:t>L’Amministrazione si impegna a consegnare tempestivamente all’operatore economico la documentazione necessaria all’espletamento della prestazione, a collaborare ai fini dell’esecuzione della stessa ed informare l’operatore economico su qualsiasi variazione inerente il lavoro affidato.</w:t>
      </w:r>
    </w:p>
    <w:p>
      <w:pPr>
        <w:pStyle w:val="Corpodeltesto21"/>
        <w:jc w:val="left"/>
        <w:rPr>
          <w:sz w:val="20"/>
          <w:szCs w:val="20"/>
        </w:rPr>
      </w:pPr>
      <w:r>
        <w:rPr>
          <w:sz w:val="20"/>
          <w:szCs w:val="20"/>
        </w:rPr>
      </w:r>
    </w:p>
    <w:p>
      <w:pPr>
        <w:pStyle w:val="Corpodeltesto21"/>
        <w:rPr/>
      </w:pPr>
      <w:r>
        <w:rPr>
          <w:sz w:val="20"/>
          <w:szCs w:val="20"/>
        </w:rPr>
        <w:t>Resta a carico dell’operatore economico ogni onere strumentale e organizzativo necessario per l’espletamento delle prestazioni, rimanendo Egli organicamente esterno e indipendente dall’organizzazione dell’Amministrazione e obbligato a eseguire quanto affidato secondo i migliori criteri per la tutela e il conseguimento del pubblico interesse.</w:t>
      </w:r>
    </w:p>
    <w:p>
      <w:pPr>
        <w:pStyle w:val="Corpodeltesto21"/>
        <w:rPr>
          <w:sz w:val="20"/>
          <w:szCs w:val="20"/>
        </w:rPr>
      </w:pPr>
      <w:r>
        <w:rPr>
          <w:sz w:val="20"/>
          <w:szCs w:val="20"/>
        </w:rPr>
      </w:r>
    </w:p>
    <w:p>
      <w:pPr>
        <w:pStyle w:val="Corpodeltesto21"/>
        <w:rPr/>
      </w:pPr>
      <w:r>
        <w:rPr>
          <w:sz w:val="20"/>
          <w:szCs w:val="20"/>
        </w:rPr>
        <w:t xml:space="preserve">L'Amministrazione si riserva la facoltà di procedere, in qualsiasi momento e anche senza preavviso, alle verifiche sulla piena e corretta esecuzione delle prestazioni. L’operatore economico si impegna, altresì, a prestare la propria collaborazione per consentire lo svolgimento di tali verifiche. </w:t>
      </w:r>
    </w:p>
    <w:p>
      <w:pPr>
        <w:pStyle w:val="Corpodeltesto21"/>
        <w:rPr>
          <w:sz w:val="20"/>
          <w:szCs w:val="20"/>
        </w:rPr>
      </w:pPr>
      <w:r>
        <w:rPr>
          <w:sz w:val="20"/>
          <w:szCs w:val="20"/>
        </w:rPr>
      </w:r>
    </w:p>
    <w:p>
      <w:pPr>
        <w:pStyle w:val="Corpodeltesto21"/>
        <w:rPr/>
      </w:pPr>
      <w:r>
        <w:rPr>
          <w:sz w:val="20"/>
          <w:szCs w:val="20"/>
        </w:rPr>
        <w:t>L’operatore economico è tenuto a comunicare all'Amministrazione ogni modificazione negli assetti proprietari, nella struttura di impresa e negli organismi tecnici e amministrativi. Tale comunicazione dovrà pervenire via PEC all'Amministrazione entro giorni 10 (dieci) dall’intervenuta modifica.</w:t>
      </w:r>
    </w:p>
    <w:p>
      <w:pPr>
        <w:pStyle w:val="Corpodeltesto21"/>
        <w:rPr>
          <w:sz w:val="20"/>
          <w:szCs w:val="20"/>
        </w:rPr>
      </w:pPr>
      <w:r>
        <w:rPr>
          <w:sz w:val="20"/>
          <w:szCs w:val="20"/>
        </w:rPr>
      </w:r>
    </w:p>
    <w:p>
      <w:pPr>
        <w:pStyle w:val="Corpodeltesto21"/>
        <w:rPr/>
      </w:pPr>
      <w:r>
        <w:rPr>
          <w:sz w:val="20"/>
          <w:szCs w:val="20"/>
        </w:rPr>
        <w:t>Sono a carico dell’operatore economico, intendendosi remunerati con il corrispettivo contrattuale, tutti gli oneri e i rischi relativi alle attività e agli adempimenti occorrenti all’integrale espletamento dell’oggetto contrattuale.</w:t>
      </w:r>
    </w:p>
    <w:p>
      <w:pPr>
        <w:pStyle w:val="Titolo1"/>
        <w:rPr/>
      </w:pPr>
      <w:r>
        <w:rPr>
          <w:sz w:val="20"/>
          <w:szCs w:val="20"/>
        </w:rPr>
        <w:t>Articolo 10 – Normativa di riferimento</w:t>
      </w:r>
    </w:p>
    <w:p>
      <w:pPr>
        <w:pStyle w:val="Corpodeltesto21"/>
        <w:numPr>
          <w:ilvl w:val="0"/>
          <w:numId w:val="8"/>
        </w:numPr>
        <w:rPr/>
      </w:pPr>
      <w:r>
        <w:rPr>
          <w:sz w:val="20"/>
          <w:szCs w:val="20"/>
        </w:rPr>
        <w:t>Nello svolgimento del servizio si dovranno osservare le normative vigenti in</w:t>
      </w:r>
    </w:p>
    <w:p>
      <w:pPr>
        <w:pStyle w:val="Corpodeltesto21"/>
        <w:numPr>
          <w:ilvl w:val="0"/>
          <w:numId w:val="8"/>
        </w:numPr>
        <w:rPr/>
      </w:pPr>
      <w:r>
        <w:rPr>
          <w:sz w:val="20"/>
          <w:szCs w:val="20"/>
        </w:rPr>
        <w:t>materia in particolare:</w:t>
      </w:r>
    </w:p>
    <w:p>
      <w:pPr>
        <w:pStyle w:val="Corpodeltesto21"/>
        <w:numPr>
          <w:ilvl w:val="0"/>
          <w:numId w:val="4"/>
        </w:numPr>
        <w:rPr/>
      </w:pPr>
      <w:r>
        <w:rPr>
          <w:sz w:val="20"/>
          <w:szCs w:val="20"/>
        </w:rP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nonche' alla libera circolazione di tali dati e che abroga la direttiva 95/46/CE”;</w:t>
      </w:r>
    </w:p>
    <w:p>
      <w:pPr>
        <w:pStyle w:val="Corpodeltesto21"/>
        <w:numPr>
          <w:ilvl w:val="0"/>
          <w:numId w:val="4"/>
        </w:numPr>
        <w:rPr/>
      </w:pPr>
      <w:r>
        <w:rPr>
          <w:sz w:val="20"/>
          <w:szCs w:val="20"/>
        </w:rPr>
        <w:t>l. 13 agosto 2010, n. 136, e ss.mm.ii. – recante “Piano straordinario contro le mafie nonché delega al governo in materia antimafia”;</w:t>
      </w:r>
    </w:p>
    <w:p>
      <w:pPr>
        <w:pStyle w:val="Corpodeltesto21"/>
        <w:numPr>
          <w:ilvl w:val="0"/>
          <w:numId w:val="4"/>
        </w:numPr>
        <w:rPr/>
      </w:pPr>
      <w:r>
        <w:rPr>
          <w:sz w:val="20"/>
          <w:szCs w:val="20"/>
        </w:rPr>
        <w:t>d.lgs. 6 settembre 2011, n. 159, e ss.mm.ii. – Codice delle leggi antimafia e delle misure di prevenzione, nonché nuove disposizioni in materia di documentazione antimafia, a norma degli artt. 1 e 2 della Legge 13 agosto 2010, n. 136;</w:t>
      </w:r>
    </w:p>
    <w:p>
      <w:pPr>
        <w:pStyle w:val="Corpodeltesto21"/>
        <w:numPr>
          <w:ilvl w:val="0"/>
          <w:numId w:val="4"/>
        </w:numPr>
        <w:rPr/>
      </w:pPr>
      <w:r>
        <w:rPr>
          <w:sz w:val="20"/>
          <w:szCs w:val="20"/>
        </w:rPr>
        <w:t xml:space="preserve">d.lgs. 14 marzo 2013, n. 33 – Riordino della disciplina riguardante il diritto di accesso civico e gli obblighi di pubblicità, trasparenza e diffusione di informazioni da parte delle pubbliche amministrazioni; </w:t>
      </w:r>
    </w:p>
    <w:p>
      <w:pPr>
        <w:pStyle w:val="Corpodeltesto21"/>
        <w:numPr>
          <w:ilvl w:val="0"/>
          <w:numId w:val="4"/>
        </w:numPr>
        <w:rPr/>
      </w:pPr>
      <w:r>
        <w:rPr>
          <w:sz w:val="20"/>
          <w:szCs w:val="20"/>
        </w:rPr>
        <w:t>d.P.R. 16 aprile 2013, n. 62, e ss.mm.ii. – Regolamento recante “Codice di comportamento dei dipendenti pubblici” a norma dell’art. 54 del d.lgs. 30 marzo 2013, n. 62;</w:t>
      </w:r>
    </w:p>
    <w:p>
      <w:pPr>
        <w:pStyle w:val="Corpodeltesto21"/>
        <w:numPr>
          <w:ilvl w:val="0"/>
          <w:numId w:val="4"/>
        </w:numPr>
        <w:rPr/>
      </w:pPr>
      <w:r>
        <w:rPr>
          <w:sz w:val="20"/>
          <w:szCs w:val="20"/>
        </w:rPr>
        <w:t>d.lgs. 31 marzo 2023, n. 36 – Codice dei contratti pubblici in attuazione dell’art. 1 della Legge n. 78 del 2022 recante delega al Governo in materia di contratti pubblici, e ss.mm.ii.–  indicato come “Codice”;</w:t>
      </w:r>
    </w:p>
    <w:p>
      <w:pPr>
        <w:pStyle w:val="Corpodeltesto21"/>
        <w:numPr>
          <w:ilvl w:val="0"/>
          <w:numId w:val="4"/>
        </w:numPr>
        <w:rPr/>
      </w:pPr>
      <w:r>
        <w:rPr>
          <w:sz w:val="20"/>
          <w:szCs w:val="20"/>
        </w:rPr>
        <w:t>d.lgs. 9 aprile 2008, n. 81, e ss.mm.ii. – Attuazione dell’art. 1 della Legge 3 agosto 2007, n. 123, in materia di tutela della salute e della sicurezza nei luoghi di lavoro;</w:t>
      </w:r>
    </w:p>
    <w:p>
      <w:pPr>
        <w:pStyle w:val="Titolo1"/>
        <w:rPr/>
      </w:pPr>
      <w:r>
        <w:rPr>
          <w:sz w:val="20"/>
          <w:szCs w:val="20"/>
        </w:rPr>
        <w:t xml:space="preserve">Articolo 11 – </w:t>
      </w:r>
      <w:r>
        <w:rPr>
          <w:bCs/>
          <w:sz w:val="20"/>
          <w:szCs w:val="20"/>
        </w:rPr>
        <w:t>Responsabilità per danni – Obbligo di manleva</w:t>
      </w:r>
    </w:p>
    <w:p>
      <w:pPr>
        <w:pStyle w:val="Corpodeltesto21"/>
        <w:rPr/>
      </w:pPr>
      <w:r>
        <w:rPr>
          <w:sz w:val="20"/>
          <w:szCs w:val="20"/>
        </w:rPr>
        <w:t>L’operatore economico, nell’esercizio del contratto, assume in proprio ogni responsabilità per qualsiasi danno causato a persone o beni, tanto di sé stesso quanto dell’Amministrazione e/o di terzi. Inoltre, l’operatore economico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pPr>
        <w:pStyle w:val="Corpodeltesto21"/>
        <w:rPr>
          <w:sz w:val="20"/>
          <w:szCs w:val="20"/>
        </w:rPr>
      </w:pPr>
      <w:r>
        <w:rPr>
          <w:sz w:val="20"/>
          <w:szCs w:val="20"/>
        </w:rPr>
      </w:r>
    </w:p>
    <w:p>
      <w:pPr>
        <w:pStyle w:val="Corpodeltesto21"/>
        <w:rPr>
          <w:sz w:val="20"/>
          <w:szCs w:val="20"/>
        </w:rPr>
      </w:pPr>
      <w:r>
        <w:rPr>
          <w:sz w:val="20"/>
          <w:szCs w:val="20"/>
        </w:rPr>
      </w:r>
    </w:p>
    <w:p>
      <w:pPr>
        <w:pStyle w:val="Corpodeltesto21"/>
        <w:rPr>
          <w:sz w:val="20"/>
          <w:szCs w:val="20"/>
        </w:rPr>
      </w:pPr>
      <w:r>
        <w:rPr>
          <w:sz w:val="20"/>
          <w:szCs w:val="20"/>
        </w:rPr>
      </w:r>
    </w:p>
    <w:p>
      <w:pPr>
        <w:pStyle w:val="Corpodeltesto21"/>
        <w:rPr>
          <w:sz w:val="20"/>
          <w:szCs w:val="20"/>
        </w:rPr>
      </w:pPr>
      <w:r>
        <w:rPr>
          <w:sz w:val="20"/>
          <w:szCs w:val="20"/>
        </w:rPr>
      </w:r>
    </w:p>
    <w:p>
      <w:pPr>
        <w:pStyle w:val="Corpodeltesto21"/>
        <w:rPr>
          <w:sz w:val="20"/>
          <w:szCs w:val="20"/>
        </w:rPr>
      </w:pPr>
      <w:r>
        <w:rPr>
          <w:sz w:val="20"/>
          <w:szCs w:val="20"/>
        </w:rPr>
      </w:r>
    </w:p>
    <w:p>
      <w:pPr>
        <w:pStyle w:val="Corpodeltesto21"/>
        <w:numPr>
          <w:ilvl w:val="0"/>
          <w:numId w:val="8"/>
        </w:numPr>
        <w:ind w:left="0" w:hanging="0"/>
        <w:rPr>
          <w:sz w:val="20"/>
          <w:szCs w:val="20"/>
        </w:rPr>
      </w:pPr>
      <w:r>
        <w:rPr>
          <w:sz w:val="20"/>
          <w:szCs w:val="20"/>
        </w:rPr>
      </w:r>
    </w:p>
    <w:tbl>
      <w:tblPr>
        <w:tblW w:w="10268" w:type="dxa"/>
        <w:jc w:val="left"/>
        <w:tblInd w:w="147" w:type="dxa"/>
        <w:tblCellMar>
          <w:top w:w="0" w:type="dxa"/>
          <w:left w:w="108" w:type="dxa"/>
          <w:bottom w:w="0" w:type="dxa"/>
          <w:right w:w="108" w:type="dxa"/>
        </w:tblCellMar>
        <w:tblLook w:firstRow="0" w:noVBand="0" w:lastRow="0" w:firstColumn="0" w:lastColumn="0" w:noHBand="0" w:val="0000"/>
      </w:tblPr>
      <w:tblGrid>
        <w:gridCol w:w="5207"/>
        <w:gridCol w:w="5060"/>
      </w:tblGrid>
      <w:tr>
        <w:trPr/>
        <w:tc>
          <w:tcPr>
            <w:tcW w:w="5207" w:type="dxa"/>
            <w:tcBorders/>
          </w:tcPr>
          <w:p>
            <w:pPr>
              <w:pStyle w:val="Standard"/>
              <w:jc w:val="center"/>
              <w:rPr/>
            </w:pPr>
            <w:r>
              <w:rPr>
                <w:sz w:val="20"/>
                <w:szCs w:val="20"/>
              </w:rPr>
              <w:t>P/La PROVINCIA DI PARMA</w:t>
            </w:r>
          </w:p>
          <w:p>
            <w:pPr>
              <w:pStyle w:val="Standard"/>
              <w:jc w:val="center"/>
              <w:rPr/>
            </w:pPr>
            <w:r>
              <w:rPr>
                <w:sz w:val="20"/>
                <w:szCs w:val="20"/>
              </w:rPr>
              <w:t>IL RESPONSABILE DEL PROGETTO</w:t>
            </w:r>
          </w:p>
          <w:p>
            <w:pPr>
              <w:pStyle w:val="Standard"/>
              <w:jc w:val="center"/>
              <w:rPr/>
            </w:pPr>
            <w:r>
              <w:rPr>
                <w:sz w:val="20"/>
                <w:szCs w:val="20"/>
              </w:rPr>
              <w:t>Ing. Elisa Botta</w:t>
            </w:r>
          </w:p>
          <w:p>
            <w:pPr>
              <w:pStyle w:val="Standard"/>
              <w:jc w:val="center"/>
              <w:rPr>
                <w:rFonts w:eastAsia="Verdana"/>
                <w:sz w:val="20"/>
                <w:szCs w:val="20"/>
              </w:rPr>
            </w:pPr>
            <w:r>
              <w:rPr>
                <w:rFonts w:eastAsia="Verdana"/>
                <w:sz w:val="20"/>
                <w:szCs w:val="20"/>
              </w:rPr>
            </w:r>
          </w:p>
        </w:tc>
        <w:tc>
          <w:tcPr>
            <w:tcW w:w="5060" w:type="dxa"/>
            <w:tcBorders/>
          </w:tcPr>
          <w:p>
            <w:pPr>
              <w:pStyle w:val="Standard"/>
              <w:jc w:val="center"/>
              <w:rPr/>
            </w:pPr>
            <w:r>
              <w:rPr>
                <w:sz w:val="20"/>
                <w:szCs w:val="20"/>
              </w:rPr>
              <w:t>L’Operatore Economico incaricato</w:t>
            </w:r>
          </w:p>
          <w:p>
            <w:pPr>
              <w:pStyle w:val="Standard"/>
              <w:jc w:val="center"/>
              <w:rPr/>
            </w:pPr>
            <w:r>
              <w:rPr>
                <w:rFonts w:eastAsia="Times New Roman" w:cs="Mangal"/>
                <w:color w:val="000000"/>
                <w:sz w:val="20"/>
                <w:szCs w:val="20"/>
                <w:lang w:eastAsia="it-IT"/>
              </w:rPr>
              <w:t>Ing. Matteo Carlini</w:t>
            </w:r>
            <w:r>
              <w:rPr>
                <w:sz w:val="20"/>
                <w:szCs w:val="20"/>
              </w:rPr>
              <w:t xml:space="preserve"> </w:t>
            </w:r>
          </w:p>
        </w:tc>
      </w:tr>
    </w:tbl>
    <w:p>
      <w:pPr>
        <w:pStyle w:val="Standard"/>
        <w:rPr/>
      </w:pPr>
      <w:r>
        <w:rPr/>
      </w:r>
    </w:p>
    <w:sectPr>
      <w:type w:val="nextPage"/>
      <w:pgSz w:w="11906" w:h="16838"/>
      <w:pgMar w:left="720" w:right="720" w:header="0" w:top="720" w:footer="0" w:bottom="720"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OpenSymbol">
    <w:altName w:val="Arial Unicode MS"/>
    <w:charset w:val="01"/>
    <w:family w:val="auto"/>
    <w:pitch w:val="variable"/>
  </w:font>
  <w:font w:name="Liberation Serif">
    <w:altName w:val="Times New Roman"/>
    <w:charset w:val="01"/>
    <w:family w:val="roman"/>
    <w:pitch w:val="variable"/>
  </w:font>
  <w:font w:name="Source Serif Pro">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0"/>
        <w:szCs w:val="20"/>
        <w:rFonts w:cs="OpenSymbol, 'Arial Unicode MS'"/>
        <w:color w:val="auto"/>
        <w:lang w:val="it-IT" w:eastAsia="zh-CN" w:bidi="ar-SA"/>
      </w:rPr>
    </w:lvl>
    <w:lvl w:ilvl="1">
      <w:start w:val="1"/>
      <w:numFmt w:val="bullet"/>
      <w:lvlText w:val=""/>
      <w:lvlJc w:val="left"/>
      <w:pPr>
        <w:ind w:left="1080" w:hanging="360"/>
      </w:pPr>
      <w:rPr>
        <w:rFonts w:ascii="Symbol" w:hAnsi="Symbol" w:cs="Symbol" w:hint="default"/>
        <w:sz w:val="20"/>
        <w:szCs w:val="20"/>
        <w:rFonts w:cs="OpenSymbol, 'Arial Unicode MS'"/>
        <w:color w:val="auto"/>
        <w:lang w:val="it-IT" w:eastAsia="zh-CN" w:bidi="ar-SA"/>
      </w:rPr>
    </w:lvl>
    <w:lvl w:ilvl="2">
      <w:start w:val="1"/>
      <w:numFmt w:val="bullet"/>
      <w:lvlText w:val=""/>
      <w:lvlJc w:val="left"/>
      <w:pPr>
        <w:ind w:left="1440" w:hanging="360"/>
      </w:pPr>
      <w:rPr>
        <w:rFonts w:ascii="Symbol" w:hAnsi="Symbol" w:cs="Symbol" w:hint="default"/>
        <w:sz w:val="20"/>
        <w:szCs w:val="20"/>
        <w:rFonts w:cs="OpenSymbol, 'Arial Unicode MS'"/>
        <w:color w:val="auto"/>
        <w:lang w:val="it-IT" w:eastAsia="zh-CN" w:bidi="ar-SA"/>
      </w:rPr>
    </w:lvl>
    <w:lvl w:ilvl="3">
      <w:start w:val="1"/>
      <w:numFmt w:val="bullet"/>
      <w:lvlText w:val=""/>
      <w:lvlJc w:val="left"/>
      <w:pPr>
        <w:ind w:left="1800" w:hanging="360"/>
      </w:pPr>
      <w:rPr>
        <w:rFonts w:ascii="Symbol" w:hAnsi="Symbol" w:cs="Symbol" w:hint="default"/>
        <w:sz w:val="20"/>
        <w:szCs w:val="20"/>
        <w:rFonts w:cs="OpenSymbol, 'Arial Unicode MS'"/>
        <w:color w:val="auto"/>
        <w:lang w:val="it-IT" w:eastAsia="zh-CN" w:bidi="ar-SA"/>
      </w:rPr>
    </w:lvl>
    <w:lvl w:ilvl="4">
      <w:start w:val="1"/>
      <w:numFmt w:val="bullet"/>
      <w:lvlText w:val=""/>
      <w:lvlJc w:val="left"/>
      <w:pPr>
        <w:ind w:left="2160" w:hanging="360"/>
      </w:pPr>
      <w:rPr>
        <w:rFonts w:ascii="Symbol" w:hAnsi="Symbol" w:cs="Symbol" w:hint="default"/>
        <w:sz w:val="20"/>
        <w:szCs w:val="20"/>
        <w:rFonts w:cs="OpenSymbol, 'Arial Unicode MS'"/>
        <w:color w:val="auto"/>
        <w:lang w:val="it-IT" w:eastAsia="zh-CN" w:bidi="ar-SA"/>
      </w:rPr>
    </w:lvl>
    <w:lvl w:ilvl="5">
      <w:start w:val="1"/>
      <w:numFmt w:val="bullet"/>
      <w:lvlText w:val=""/>
      <w:lvlJc w:val="left"/>
      <w:pPr>
        <w:ind w:left="2520" w:hanging="360"/>
      </w:pPr>
      <w:rPr>
        <w:rFonts w:ascii="Symbol" w:hAnsi="Symbol" w:cs="Symbol" w:hint="default"/>
        <w:sz w:val="20"/>
        <w:szCs w:val="20"/>
        <w:rFonts w:cs="OpenSymbol, 'Arial Unicode MS'"/>
        <w:color w:val="auto"/>
        <w:lang w:val="it-IT" w:eastAsia="zh-CN" w:bidi="ar-SA"/>
      </w:rPr>
    </w:lvl>
    <w:lvl w:ilvl="6">
      <w:start w:val="1"/>
      <w:numFmt w:val="bullet"/>
      <w:lvlText w:val=""/>
      <w:lvlJc w:val="left"/>
      <w:pPr>
        <w:ind w:left="2880" w:hanging="360"/>
      </w:pPr>
      <w:rPr>
        <w:rFonts w:ascii="Symbol" w:hAnsi="Symbol" w:cs="Symbol" w:hint="default"/>
        <w:sz w:val="20"/>
        <w:szCs w:val="20"/>
        <w:rFonts w:cs="OpenSymbol, 'Arial Unicode MS'"/>
        <w:color w:val="auto"/>
        <w:lang w:val="it-IT" w:eastAsia="zh-CN" w:bidi="ar-SA"/>
      </w:rPr>
    </w:lvl>
    <w:lvl w:ilvl="7">
      <w:start w:val="1"/>
      <w:numFmt w:val="bullet"/>
      <w:lvlText w:val=""/>
      <w:lvlJc w:val="left"/>
      <w:pPr>
        <w:ind w:left="3240" w:hanging="360"/>
      </w:pPr>
      <w:rPr>
        <w:rFonts w:ascii="Symbol" w:hAnsi="Symbol" w:cs="Symbol" w:hint="default"/>
        <w:sz w:val="20"/>
        <w:szCs w:val="20"/>
        <w:rFonts w:cs="OpenSymbol, 'Arial Unicode MS'"/>
        <w:color w:val="auto"/>
        <w:lang w:val="it-IT" w:eastAsia="zh-CN" w:bidi="ar-SA"/>
      </w:rPr>
    </w:lvl>
    <w:lvl w:ilvl="8">
      <w:start w:val="1"/>
      <w:numFmt w:val="bullet"/>
      <w:lvlText w:val=""/>
      <w:lvlJc w:val="left"/>
      <w:pPr>
        <w:ind w:left="3600" w:hanging="360"/>
      </w:pPr>
      <w:rPr>
        <w:rFonts w:ascii="Symbol" w:hAnsi="Symbol" w:cs="Symbol" w:hint="default"/>
        <w:sz w:val="20"/>
        <w:szCs w:val="20"/>
        <w:rFonts w:cs="OpenSymbol, 'Arial Unicode MS'"/>
        <w:color w:val="auto"/>
        <w:lang w:val="it-IT" w:eastAsia="zh-CN" w:bidi="ar-SA"/>
      </w:rPr>
    </w:lvl>
  </w:abstractNum>
  <w:abstractNum w:abstractNumId="2">
    <w:lvl w:ilvl="0">
      <w:start w:val="1"/>
      <w:numFmt w:val="bullet"/>
      <w:lvlText w:val=""/>
      <w:lvlJc w:val="left"/>
      <w:pPr>
        <w:ind w:left="720" w:hanging="360"/>
      </w:pPr>
      <w:rPr>
        <w:rFonts w:ascii="Symbol" w:hAnsi="Symbol" w:cs="Symbol" w:hint="default"/>
        <w:sz w:val="20"/>
        <w:szCs w:val="20"/>
        <w:rFonts w:cs="OpenSymbol, 'Arial Unicode MS'"/>
      </w:rPr>
    </w:lvl>
    <w:lvl w:ilvl="1">
      <w:start w:val="1"/>
      <w:numFmt w:val="bullet"/>
      <w:lvlText w:val="◦"/>
      <w:lvlJc w:val="left"/>
      <w:pPr>
        <w:ind w:left="1080" w:hanging="360"/>
      </w:pPr>
      <w:rPr>
        <w:rFonts w:ascii="OpenSymbol" w:hAnsi="OpenSymbol" w:cs="OpenSymbol" w:hint="default"/>
        <w:rFonts w:cs="OpenSymbol, 'Arial Unicode MS'"/>
      </w:rPr>
    </w:lvl>
    <w:lvl w:ilvl="2">
      <w:start w:val="1"/>
      <w:numFmt w:val="bullet"/>
      <w:lvlText w:val="▪"/>
      <w:lvlJc w:val="left"/>
      <w:pPr>
        <w:ind w:left="1440" w:hanging="360"/>
      </w:pPr>
      <w:rPr>
        <w:rFonts w:ascii="OpenSymbol" w:hAnsi="OpenSymbol" w:cs="OpenSymbol" w:hint="default"/>
        <w:rFonts w:cs="OpenSymbol, 'Arial Unicode MS'"/>
      </w:rPr>
    </w:lvl>
    <w:lvl w:ilvl="3">
      <w:start w:val="1"/>
      <w:numFmt w:val="bullet"/>
      <w:lvlText w:val=""/>
      <w:lvlJc w:val="left"/>
      <w:pPr>
        <w:ind w:left="1800" w:hanging="360"/>
      </w:pPr>
      <w:rPr>
        <w:rFonts w:ascii="Symbol" w:hAnsi="Symbol" w:cs="Symbol" w:hint="default"/>
        <w:sz w:val="20"/>
        <w:szCs w:val="20"/>
        <w:rFonts w:cs="OpenSymbol, 'Arial Unicode MS'"/>
      </w:rPr>
    </w:lvl>
    <w:lvl w:ilvl="4">
      <w:start w:val="1"/>
      <w:numFmt w:val="bullet"/>
      <w:lvlText w:val="◦"/>
      <w:lvlJc w:val="left"/>
      <w:pPr>
        <w:ind w:left="2160" w:hanging="360"/>
      </w:pPr>
      <w:rPr>
        <w:rFonts w:ascii="OpenSymbol" w:hAnsi="OpenSymbol" w:cs="OpenSymbol" w:hint="default"/>
        <w:rFonts w:cs="OpenSymbol, 'Arial Unicode MS'"/>
      </w:rPr>
    </w:lvl>
    <w:lvl w:ilvl="5">
      <w:start w:val="1"/>
      <w:numFmt w:val="bullet"/>
      <w:lvlText w:val="▪"/>
      <w:lvlJc w:val="left"/>
      <w:pPr>
        <w:ind w:left="2520" w:hanging="360"/>
      </w:pPr>
      <w:rPr>
        <w:rFonts w:ascii="OpenSymbol" w:hAnsi="OpenSymbol" w:cs="OpenSymbol" w:hint="default"/>
        <w:rFonts w:cs="OpenSymbol, 'Arial Unicode MS'"/>
      </w:rPr>
    </w:lvl>
    <w:lvl w:ilvl="6">
      <w:start w:val="1"/>
      <w:numFmt w:val="bullet"/>
      <w:lvlText w:val=""/>
      <w:lvlJc w:val="left"/>
      <w:pPr>
        <w:ind w:left="2880" w:hanging="360"/>
      </w:pPr>
      <w:rPr>
        <w:rFonts w:ascii="Symbol" w:hAnsi="Symbol" w:cs="Symbol" w:hint="default"/>
        <w:sz w:val="20"/>
        <w:szCs w:val="20"/>
        <w:rFonts w:cs="OpenSymbol, 'Arial Unicode MS'"/>
      </w:rPr>
    </w:lvl>
    <w:lvl w:ilvl="7">
      <w:start w:val="1"/>
      <w:numFmt w:val="bullet"/>
      <w:lvlText w:val="◦"/>
      <w:lvlJc w:val="left"/>
      <w:pPr>
        <w:ind w:left="3240" w:hanging="360"/>
      </w:pPr>
      <w:rPr>
        <w:rFonts w:ascii="OpenSymbol" w:hAnsi="OpenSymbol" w:cs="OpenSymbol" w:hint="default"/>
        <w:rFonts w:cs="OpenSymbol, 'Arial Unicode MS'"/>
      </w:rPr>
    </w:lvl>
    <w:lvl w:ilvl="8">
      <w:start w:val="1"/>
      <w:numFmt w:val="bullet"/>
      <w:lvlText w:val="▪"/>
      <w:lvlJc w:val="left"/>
      <w:pPr>
        <w:ind w:left="3600" w:hanging="360"/>
      </w:pPr>
      <w:rPr>
        <w:rFonts w:ascii="OpenSymbol" w:hAnsi="OpenSymbol" w:cs="OpenSymbol" w:hint="default"/>
        <w:rFonts w:cs="OpenSymbol, 'Arial Unicode MS'"/>
      </w:rPr>
    </w:lvl>
  </w:abstractNum>
  <w:abstractNum w:abstractNumId="3">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2023"/>
      <w:numFmt w:val="bullet"/>
      <w:lvlText w:val="-"/>
      <w:lvlJc w:val="left"/>
      <w:pPr>
        <w:ind w:left="432" w:hanging="432"/>
      </w:pPr>
      <w:rPr>
        <w:rFonts w:ascii="Liberation Serif" w:hAnsi="Liberation Serif" w:cs="Liberation Serif" w:hint="default"/>
        <w:bCs/>
        <w:rFonts w:cs="Liberation Serif"/>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lvl w:ilvl="0">
      <w:start w:val="1"/>
      <w:numFmt w:val="bullet"/>
      <w:lvlText w:val="-"/>
      <w:lvlJc w:val="left"/>
      <w:pPr>
        <w:ind w:left="360" w:hanging="360"/>
      </w:pPr>
      <w:rPr>
        <w:rFonts w:ascii="Source Serif Pro" w:hAnsi="Source Serif Pro" w:cs="Source Serif Pro" w:hint="default"/>
        <w:sz w:val="22"/>
        <w:szCs w:val="22"/>
        <w:rFonts w:cs="Source Serif Pro"/>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6">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3"/>
    <w:lvlOverride w:ilvl="0">
      <w:lvl w:ilvl="0">
        <w:start w:val="1"/>
        <w:numFmt w:val="none"/>
        <w:suff w:val="nothing"/>
        <w:lvlText w:val=""/>
        <w:lvlJc w:val="left"/>
        <w:pPr>
          <w:ind w:left="432" w:hanging="432"/>
        </w:pPr>
        <w:rPr>
          <w:bCs/>
          <w:rFonts w:eastAsia="Arial" w:cs="Arial"/>
        </w:rPr>
      </w:lvl>
    </w:lvlOverride>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5ae4"/>
    <w:pPr>
      <w:widowControl w:val="false"/>
      <w:suppressAutoHyphens w:val="true"/>
      <w:bidi w:val="0"/>
      <w:spacing w:before="0" w:after="0"/>
      <w:jc w:val="left"/>
      <w:textAlignment w:val="baseline"/>
    </w:pPr>
    <w:rPr>
      <w:rFonts w:ascii="Liberation Serif" w:hAnsi="Liberation Serif" w:eastAsia="NSimSun" w:cs="Arial"/>
      <w:color w:val="auto"/>
      <w:kern w:val="0"/>
      <w:sz w:val="24"/>
      <w:szCs w:val="24"/>
      <w:lang w:val="it-IT" w:eastAsia="zh-CN" w:bidi="hi-IN"/>
    </w:rPr>
  </w:style>
  <w:style w:type="paragraph" w:styleId="Titolo1">
    <w:name w:val="Heading 1"/>
    <w:basedOn w:val="Standard"/>
    <w:next w:val="Standard"/>
    <w:uiPriority w:val="9"/>
    <w:qFormat/>
    <w:pPr>
      <w:keepNext w:val="true"/>
      <w:shd w:val="clear" w:color="auto" w:fill="F2F2F2"/>
      <w:spacing w:before="567" w:after="227"/>
      <w:outlineLvl w:val="0"/>
    </w:pPr>
    <w:rPr>
      <w:b/>
      <w:sz w:val="28"/>
      <w:szCs w:val="28"/>
    </w:rPr>
  </w:style>
  <w:style w:type="paragraph" w:styleId="Titolo2">
    <w:name w:val="Heading 2"/>
    <w:basedOn w:val="Standard"/>
    <w:next w:val="Standard"/>
    <w:link w:val="Titolo2Carattere"/>
    <w:uiPriority w:val="9"/>
    <w:unhideWhenUsed/>
    <w:qFormat/>
    <w:pPr>
      <w:keepNext w:val="true"/>
      <w:jc w:val="center"/>
      <w:outlineLvl w:val="1"/>
    </w:pPr>
    <w:rPr>
      <w:b/>
      <w:sz w:val="28"/>
    </w:rPr>
  </w:style>
  <w:style w:type="paragraph" w:styleId="Titolo3">
    <w:name w:val="Heading 3"/>
    <w:basedOn w:val="Standard"/>
    <w:next w:val="Standard"/>
    <w:uiPriority w:val="9"/>
    <w:unhideWhenUsed/>
    <w:qFormat/>
    <w:pPr>
      <w:keepNext w:val="true"/>
      <w:jc w:val="center"/>
      <w:outlineLvl w:val="2"/>
    </w:pPr>
    <w:rPr>
      <w:b/>
    </w:rPr>
  </w:style>
  <w:style w:type="paragraph" w:styleId="Titolo4">
    <w:name w:val="Heading 4"/>
    <w:basedOn w:val="Standard"/>
    <w:next w:val="Standard"/>
    <w:uiPriority w:val="9"/>
    <w:unhideWhenUsed/>
    <w:qFormat/>
    <w:pPr>
      <w:keepNext w:val="true"/>
      <w:jc w:val="both"/>
      <w:outlineLvl w:val="3"/>
    </w:pPr>
    <w:rPr>
      <w:b/>
    </w:rPr>
  </w:style>
  <w:style w:type="paragraph" w:styleId="Titolo5">
    <w:name w:val="Heading 5"/>
    <w:basedOn w:val="Standard"/>
    <w:next w:val="Standard"/>
    <w:uiPriority w:val="9"/>
    <w:unhideWhenUsed/>
    <w:qFormat/>
    <w:pPr>
      <w:keepNext w:val="true"/>
      <w:outlineLvl w:val="4"/>
    </w:pPr>
    <w:rPr/>
  </w:style>
  <w:style w:type="paragraph" w:styleId="Titolo6">
    <w:name w:val="Heading 6"/>
    <w:basedOn w:val="Standard"/>
    <w:next w:val="Standard"/>
    <w:uiPriority w:val="9"/>
    <w:unhideWhenUsed/>
    <w:qFormat/>
    <w:pPr>
      <w:keepNext w:val="true"/>
      <w:jc w:val="center"/>
      <w:outlineLvl w:val="5"/>
    </w:pPr>
    <w:rPr>
      <w:i/>
      <w:spacing w:val="10"/>
      <w:sz w:val="16"/>
    </w:rPr>
  </w:style>
  <w:style w:type="paragraph" w:styleId="Titolo7">
    <w:name w:val="Heading 7"/>
    <w:basedOn w:val="Standard"/>
    <w:next w:val="Standard"/>
    <w:qFormat/>
    <w:pPr>
      <w:keepNext w:val="true"/>
      <w:spacing w:lineRule="auto" w:line="360"/>
      <w:outlineLvl w:val="6"/>
    </w:pPr>
    <w:rPr>
      <w:b/>
    </w:rPr>
  </w:style>
  <w:style w:type="character" w:styleId="DefaultParagraphFont" w:default="1">
    <w:name w:val="Default Paragraph Font"/>
    <w:uiPriority w:val="1"/>
    <w:unhideWhenUsed/>
    <w:qFormat/>
    <w:rPr/>
  </w:style>
  <w:style w:type="character" w:styleId="Punti" w:customStyle="1">
    <w:name w:val="Punti"/>
    <w:qFormat/>
    <w:rPr>
      <w:rFonts w:ascii="OpenSymbol, 'Arial Unicode MS'" w:hAnsi="OpenSymbol, 'Arial Unicode MS'" w:eastAsia="OpenSymbol, 'Arial Unicode MS'" w:cs="OpenSymbol, 'Arial Unicode MS'"/>
    </w:rPr>
  </w:style>
  <w:style w:type="character" w:styleId="CollegamentoInternet" w:customStyle="1">
    <w:name w:val="Collegamento Internet"/>
    <w:basedOn w:val="DefaultParagraphFont"/>
    <w:uiPriority w:val="99"/>
    <w:unhideWhenUsed/>
    <w:rsid w:val="003b5525"/>
    <w:rPr>
      <w:color w:val="0563C1" w:themeColor="hyperlink"/>
      <w:u w:val="single"/>
    </w:rPr>
  </w:style>
  <w:style w:type="character" w:styleId="Enfasiforte" w:customStyle="1">
    <w:name w:val="Enfasi forte"/>
    <w:qFormat/>
    <w:rPr>
      <w:b/>
      <w:bCs/>
    </w:rPr>
  </w:style>
  <w:style w:type="character" w:styleId="Carpredefinitoparagrafo1" w:customStyle="1">
    <w:name w:val="Car. predefinito paragrafo1"/>
    <w:qFormat/>
    <w:rPr/>
  </w:style>
  <w:style w:type="character" w:styleId="WW8NumSt1z0" w:customStyle="1">
    <w:name w:val="WW8NumSt1z0"/>
    <w:qFormat/>
    <w:rPr>
      <w:rFonts w:ascii="Symbol" w:hAnsi="Symbol" w:eastAsia="Symbol" w:cs="Symbol"/>
    </w:rPr>
  </w:style>
  <w:style w:type="character" w:styleId="WW8Num13z0" w:customStyle="1">
    <w:name w:val="WW8Num13z0"/>
    <w:qFormat/>
    <w:rPr/>
  </w:style>
  <w:style w:type="character" w:styleId="WW8Num12z3" w:customStyle="1">
    <w:name w:val="WW8Num12z3"/>
    <w:qFormat/>
    <w:rPr>
      <w:rFonts w:ascii="Symbol" w:hAnsi="Symbol" w:eastAsia="Symbol" w:cs="Symbol"/>
    </w:rPr>
  </w:style>
  <w:style w:type="character" w:styleId="WW8Num12z2" w:customStyle="1">
    <w:name w:val="WW8Num12z2"/>
    <w:qFormat/>
    <w:rPr>
      <w:rFonts w:ascii="Wingdings" w:hAnsi="Wingdings" w:eastAsia="Wingdings" w:cs="Wingdings"/>
    </w:rPr>
  </w:style>
  <w:style w:type="character" w:styleId="WW8Num12z1" w:customStyle="1">
    <w:name w:val="WW8Num12z1"/>
    <w:qFormat/>
    <w:rPr>
      <w:rFonts w:ascii="Courier New" w:hAnsi="Courier New" w:eastAsia="Courier New" w:cs="Courier New"/>
    </w:rPr>
  </w:style>
  <w:style w:type="character" w:styleId="WW8Num12z0" w:customStyle="1">
    <w:name w:val="WW8Num12z0"/>
    <w:qFormat/>
    <w:rPr>
      <w:rFonts w:ascii="Times New Roman" w:hAnsi="Times New Roman" w:eastAsia="Times New Roman" w:cs="Times New Roman"/>
    </w:rPr>
  </w:style>
  <w:style w:type="character" w:styleId="WW8Num11z0" w:customStyle="1">
    <w:name w:val="WW8Num11z0"/>
    <w:qFormat/>
    <w:rPr/>
  </w:style>
  <w:style w:type="character" w:styleId="WW8Num10z0" w:customStyle="1">
    <w:name w:val="WW8Num10z0"/>
    <w:qFormat/>
    <w:rPr>
      <w:rFonts w:ascii="Symbol" w:hAnsi="Symbol" w:eastAsia="Symbol" w:cs="Symbol"/>
    </w:rPr>
  </w:style>
  <w:style w:type="character" w:styleId="WW8Num9z0" w:customStyle="1">
    <w:name w:val="WW8Num9z0"/>
    <w:qFormat/>
    <w:rPr>
      <w:b/>
    </w:rPr>
  </w:style>
  <w:style w:type="character" w:styleId="WW8Num8z3" w:customStyle="1">
    <w:name w:val="WW8Num8z3"/>
    <w:qFormat/>
    <w:rPr>
      <w:rFonts w:ascii="Symbol" w:hAnsi="Symbol" w:eastAsia="Symbol" w:cs="Symbol"/>
    </w:rPr>
  </w:style>
  <w:style w:type="character" w:styleId="WW8Num8z2" w:customStyle="1">
    <w:name w:val="WW8Num8z2"/>
    <w:qFormat/>
    <w:rPr>
      <w:rFonts w:ascii="Wingdings" w:hAnsi="Wingdings" w:eastAsia="Wingdings" w:cs="Wingdings"/>
    </w:rPr>
  </w:style>
  <w:style w:type="character" w:styleId="WW8Num8z1" w:customStyle="1">
    <w:name w:val="WW8Num8z1"/>
    <w:qFormat/>
    <w:rPr>
      <w:rFonts w:ascii="Courier New" w:hAnsi="Courier New" w:eastAsia="Courier New" w:cs="Courier New"/>
    </w:rPr>
  </w:style>
  <w:style w:type="character" w:styleId="WW8Num8z0" w:customStyle="1">
    <w:name w:val="WW8Num8z0"/>
    <w:qFormat/>
    <w:rPr>
      <w:rFonts w:ascii="Arial" w:hAnsi="Arial" w:eastAsia="Times New Roman" w:cs="Arial"/>
    </w:rPr>
  </w:style>
  <w:style w:type="character" w:styleId="WW8Num7z0" w:customStyle="1">
    <w:name w:val="WW8Num7z0"/>
    <w:qFormat/>
    <w:rPr/>
  </w:style>
  <w:style w:type="character" w:styleId="WW8Num6z0" w:customStyle="1">
    <w:name w:val="WW8Num6z0"/>
    <w:qFormat/>
    <w:rPr/>
  </w:style>
  <w:style w:type="character" w:styleId="WW8Num5z3" w:customStyle="1">
    <w:name w:val="WW8Num5z3"/>
    <w:qFormat/>
    <w:rPr>
      <w:rFonts w:ascii="Symbol" w:hAnsi="Symbol" w:eastAsia="Symbol" w:cs="Symbol"/>
    </w:rPr>
  </w:style>
  <w:style w:type="character" w:styleId="WW8Num5z2" w:customStyle="1">
    <w:name w:val="WW8Num5z2"/>
    <w:qFormat/>
    <w:rPr>
      <w:rFonts w:ascii="Wingdings" w:hAnsi="Wingdings" w:eastAsia="Wingdings" w:cs="Wingdings"/>
    </w:rPr>
  </w:style>
  <w:style w:type="character" w:styleId="WW8Num5z1" w:customStyle="1">
    <w:name w:val="WW8Num5z1"/>
    <w:qFormat/>
    <w:rPr>
      <w:rFonts w:ascii="Courier New" w:hAnsi="Courier New" w:eastAsia="Courier New" w:cs="Courier New"/>
    </w:rPr>
  </w:style>
  <w:style w:type="character" w:styleId="WW8Num5z0" w:customStyle="1">
    <w:name w:val="WW8Num5z0"/>
    <w:qFormat/>
    <w:rPr>
      <w:rFonts w:ascii="Verdana" w:hAnsi="Verdana" w:eastAsia="Times New Roman" w:cs="Times New Roman"/>
    </w:rPr>
  </w:style>
  <w:style w:type="character" w:styleId="Carpredefinitoparagrafo2" w:customStyle="1">
    <w:name w:val="Car. predefinito paragrafo2"/>
    <w:qFormat/>
    <w:rPr/>
  </w:style>
  <w:style w:type="character" w:styleId="WW8Num3z3" w:customStyle="1">
    <w:name w:val="WW8Num3z3"/>
    <w:qFormat/>
    <w:rPr>
      <w:rFonts w:ascii="Symbol" w:hAnsi="Symbol" w:eastAsia="Symbol" w:cs="Symbol"/>
    </w:rPr>
  </w:style>
  <w:style w:type="character" w:styleId="WW8Num3z2" w:customStyle="1">
    <w:name w:val="WW8Num3z2"/>
    <w:qFormat/>
    <w:rPr>
      <w:rFonts w:ascii="Wingdings" w:hAnsi="Wingdings" w:eastAsia="Wingdings" w:cs="Wingdings"/>
    </w:rPr>
  </w:style>
  <w:style w:type="character" w:styleId="WW8Num3z1" w:customStyle="1">
    <w:name w:val="WW8Num3z1"/>
    <w:qFormat/>
    <w:rPr>
      <w:rFonts w:ascii="Courier New" w:hAnsi="Courier New" w:eastAsia="Courier New" w:cs="Courier New"/>
    </w:rPr>
  </w:style>
  <w:style w:type="character" w:styleId="WW8Num4z1" w:customStyle="1">
    <w:name w:val="WW8Num4z1"/>
    <w:qFormat/>
    <w:rPr>
      <w:rFonts w:ascii="OpenSymbol, 'Arial Unicode MS'" w:hAnsi="OpenSymbol, 'Arial Unicode MS'" w:eastAsia="OpenSymbol, 'Arial Unicode MS'" w:cs="OpenSymbol, 'Arial Unicode MS'"/>
    </w:rPr>
  </w:style>
  <w:style w:type="character" w:styleId="WW8Num4z0" w:customStyle="1">
    <w:name w:val="WW8Num4z0"/>
    <w:qFormat/>
    <w:rPr>
      <w:rFonts w:ascii="Symbol" w:hAnsi="Symbol" w:eastAsia="Symbol" w:cs="OpenSymbol, 'Arial Unicode MS'"/>
      <w:sz w:val="20"/>
      <w:szCs w:val="20"/>
    </w:rPr>
  </w:style>
  <w:style w:type="character" w:styleId="WW8Num3z0" w:customStyle="1">
    <w:name w:val="WW8Num3z0"/>
    <w:qFormat/>
    <w:rPr>
      <w:rFonts w:ascii="Symbol" w:hAnsi="Symbol" w:eastAsia="Symbol" w:cs="OpenSymbol, 'Arial Unicode MS'"/>
      <w:color w:val="auto"/>
      <w:sz w:val="20"/>
      <w:szCs w:val="20"/>
      <w:lang w:val="it-IT" w:eastAsia="zh-CN" w:bidi="ar-SA"/>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rFonts w:ascii="Verdana" w:hAnsi="Verdana" w:eastAsia="Arial" w:cs="Arial"/>
      <w:bCs/>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UnresolvedMention">
    <w:name w:val="Unresolved Mention"/>
    <w:basedOn w:val="DefaultParagraphFont"/>
    <w:uiPriority w:val="99"/>
    <w:semiHidden/>
    <w:unhideWhenUsed/>
    <w:qFormat/>
    <w:rsid w:val="007e0aaf"/>
    <w:rPr>
      <w:color w:val="605E5C"/>
      <w:shd w:fill="E1DFDD" w:val="clear"/>
    </w:rPr>
  </w:style>
  <w:style w:type="character" w:styleId="Titolo2Carattere" w:customStyle="1">
    <w:name w:val="Titolo 2 Carattere"/>
    <w:basedOn w:val="DefaultParagraphFont"/>
    <w:link w:val="Titolo2"/>
    <w:uiPriority w:val="9"/>
    <w:qFormat/>
    <w:rsid w:val="00035ae4"/>
    <w:rPr>
      <w:rFonts w:ascii="Times New Roman" w:hAnsi="Times New Roman" w:eastAsia="Times New Roman" w:cs="Times New Roman"/>
      <w:b/>
      <w:sz w:val="28"/>
      <w:szCs w:val="20"/>
      <w:lang w:bidi="ar-SA"/>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Arial"/>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Standard"/>
    <w:qFormat/>
    <w:pPr>
      <w:suppressLineNumbers/>
    </w:pPr>
    <w:rPr>
      <w:rFonts w:cs="Arial"/>
    </w:rPr>
  </w:style>
  <w:style w:type="paragraph" w:styleId="Titoloprincipale">
    <w:name w:val="Title"/>
    <w:basedOn w:val="Titolo11"/>
    <w:next w:val="Corpodeltesto"/>
    <w:uiPriority w:val="10"/>
    <w:qFormat/>
    <w:pPr>
      <w:jc w:val="center"/>
    </w:pPr>
    <w:rPr>
      <w:b/>
      <w:bCs/>
      <w:sz w:val="56"/>
      <w:szCs w:val="56"/>
    </w:rPr>
  </w:style>
  <w:style w:type="paragraph" w:styleId="Caption">
    <w:name w:val="caption"/>
    <w:basedOn w:val="Standard"/>
    <w:qFormat/>
    <w:pPr>
      <w:suppressLineNumbers/>
      <w:spacing w:before="120" w:after="120"/>
    </w:pPr>
    <w:rPr>
      <w:rFonts w:cs="Lucida Sans"/>
      <w:i/>
      <w:iCs/>
    </w:rPr>
  </w:style>
  <w:style w:type="paragraph" w:styleId="Titolo11" w:customStyle="1">
    <w:name w:val="Titolo1"/>
    <w:basedOn w:val="Standard"/>
    <w:next w:val="Textbody"/>
    <w:qFormat/>
    <w:pPr>
      <w:keepNext w:val="true"/>
      <w:spacing w:before="240" w:after="120"/>
    </w:pPr>
    <w:rPr>
      <w:rFonts w:ascii="Liberation Sans" w:hAnsi="Liberation Sans" w:eastAsia="Microsoft YaHei" w:cs="Arial"/>
      <w:sz w:val="28"/>
      <w:szCs w:val="28"/>
    </w:rPr>
  </w:style>
  <w:style w:type="paragraph" w:styleId="Standard" w:customStyle="1">
    <w:name w:val="Standard"/>
    <w:qFormat/>
    <w:rsid w:val="003b5525"/>
    <w:pPr>
      <w:widowControl/>
      <w:suppressAutoHyphens w:val="true"/>
      <w:bidi w:val="0"/>
      <w:spacing w:before="0" w:after="0"/>
      <w:jc w:val="left"/>
      <w:textAlignment w:val="baseline"/>
    </w:pPr>
    <w:rPr>
      <w:rFonts w:ascii="Verdana" w:hAnsi="Verdana" w:eastAsia="Lucida Sans Unicode" w:cs="Verdana"/>
      <w:color w:val="auto"/>
      <w:kern w:val="2"/>
      <w:sz w:val="24"/>
      <w:szCs w:val="24"/>
      <w:lang w:val="it-IT" w:eastAsia="zh-CN" w:bidi="hi-IN"/>
    </w:rPr>
  </w:style>
  <w:style w:type="paragraph" w:styleId="Textbody" w:customStyle="1">
    <w:name w:val="Text body"/>
    <w:basedOn w:val="Standard"/>
    <w:qFormat/>
    <w:pPr>
      <w:jc w:val="both"/>
    </w:pPr>
    <w:rPr/>
  </w:style>
  <w:style w:type="paragraph" w:styleId="ListParagraph">
    <w:name w:val="List Paragraph"/>
    <w:basedOn w:val="Standard"/>
    <w:qFormat/>
    <w:pPr>
      <w:ind w:left="720" w:firstLine="709"/>
    </w:pPr>
    <w:rPr/>
  </w:style>
  <w:style w:type="paragraph" w:styleId="Contenutocornice" w:customStyle="1">
    <w:name w:val="Contenuto cornice"/>
    <w:basedOn w:val="Standard"/>
    <w:qFormat/>
    <w:pPr/>
    <w:rPr/>
  </w:style>
  <w:style w:type="paragraph" w:styleId="Testocitato" w:customStyle="1">
    <w:name w:val="Testo citato"/>
    <w:basedOn w:val="Standard"/>
    <w:qFormat/>
    <w:pPr>
      <w:spacing w:before="0" w:after="283"/>
      <w:ind w:left="567" w:right="567" w:hanging="0"/>
    </w:pPr>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0"/>
      <w:sz w:val="24"/>
      <w:szCs w:val="24"/>
      <w:lang w:bidi="ar-SA" w:val="it-IT" w:eastAsia="zh-CN"/>
    </w:rPr>
  </w:style>
  <w:style w:type="paragraph" w:styleId="Contenutotabella" w:customStyle="1">
    <w:name w:val="Contenuto tabella"/>
    <w:basedOn w:val="Standard"/>
    <w:qFormat/>
    <w:pPr>
      <w:suppressLineNumbers/>
    </w:pPr>
    <w:rPr/>
  </w:style>
  <w:style w:type="paragraph" w:styleId="Titolotabella" w:customStyle="1">
    <w:name w:val="Titolo tabella"/>
    <w:basedOn w:val="Contenutotabella"/>
    <w:qFormat/>
    <w:pPr>
      <w:jc w:val="center"/>
    </w:pPr>
    <w:rPr>
      <w:b/>
      <w:bCs/>
    </w:rPr>
  </w:style>
  <w:style w:type="paragraph" w:styleId="Intestazionetabella" w:customStyle="1">
    <w:name w:val="Intestazione tabella"/>
    <w:basedOn w:val="Contenutotabella"/>
    <w:qFormat/>
    <w:pPr>
      <w:jc w:val="center"/>
    </w:pPr>
    <w:rPr>
      <w:b/>
      <w:bCs/>
    </w:rPr>
  </w:style>
  <w:style w:type="paragraph" w:styleId="Textbodyindent" w:customStyle="1">
    <w:name w:val="Text body indent"/>
    <w:basedOn w:val="Standard"/>
    <w:qFormat/>
    <w:pPr>
      <w:spacing w:before="0" w:after="120"/>
      <w:ind w:left="283" w:hanging="0"/>
    </w:pPr>
    <w:rPr/>
  </w:style>
  <w:style w:type="paragraph" w:styleId="NormalWeb">
    <w:name w:val="Normal (Web)"/>
    <w:basedOn w:val="Standard"/>
    <w:qFormat/>
    <w:pPr>
      <w:spacing w:before="100" w:after="100"/>
    </w:pPr>
    <w:rPr/>
  </w:style>
  <w:style w:type="paragraph" w:styleId="Xxx" w:customStyle="1">
    <w:name w:val="xxx"/>
    <w:qFormat/>
    <w:pPr>
      <w:widowControl/>
      <w:suppressAutoHyphens w:val="true"/>
      <w:bidi w:val="0"/>
      <w:spacing w:before="0" w:after="0"/>
      <w:jc w:val="both"/>
      <w:textAlignment w:val="baseline"/>
    </w:pPr>
    <w:rPr>
      <w:rFonts w:ascii="Arial" w:hAnsi="Arial" w:eastAsia="Times New Roman" w:cs="Arial"/>
      <w:color w:val="auto"/>
      <w:kern w:val="0"/>
      <w:sz w:val="24"/>
      <w:szCs w:val="20"/>
      <w:lang w:bidi="ar-SA" w:val="it-IT" w:eastAsia="zh-CN"/>
    </w:rPr>
  </w:style>
  <w:style w:type="paragraph" w:styleId="L" w:customStyle="1">
    <w:name w:val="L"/>
    <w:basedOn w:val="Standard"/>
    <w:qFormat/>
    <w:pPr>
      <w:jc w:val="both"/>
    </w:pPr>
    <w:rPr/>
  </w:style>
  <w:style w:type="paragraph" w:styleId="BalloonText">
    <w:name w:val="Balloon Text"/>
    <w:basedOn w:val="Standard"/>
    <w:qFormat/>
    <w:pPr/>
    <w:rPr>
      <w:rFonts w:ascii="Tahoma" w:hAnsi="Tahoma" w:eastAsia="Tahoma" w:cs="Tahoma"/>
      <w:sz w:val="16"/>
      <w:szCs w:val="16"/>
    </w:rPr>
  </w:style>
  <w:style w:type="paragraph" w:styleId="Corpodeltesto21" w:customStyle="1">
    <w:name w:val="Corpo del testo 21"/>
    <w:basedOn w:val="Standard"/>
    <w:qFormat/>
    <w:pPr>
      <w:jc w:val="both"/>
    </w:pPr>
    <w:rPr>
      <w:rFonts w:eastAsia="Verdana"/>
    </w:rPr>
  </w:style>
  <w:style w:type="paragraph" w:styleId="Testonormale1" w:customStyle="1">
    <w:name w:val="Testo normale1"/>
    <w:basedOn w:val="Standard"/>
    <w:qFormat/>
    <w:pPr>
      <w:widowControl w:val="false"/>
    </w:pPr>
    <w:rPr>
      <w:rFonts w:ascii="Courier New" w:hAnsi="Courier New" w:eastAsia="Courier New" w:cs="Courier New"/>
    </w:rPr>
  </w:style>
  <w:style w:type="paragraph" w:styleId="Mappadocumento1" w:customStyle="1">
    <w:name w:val="Mappa documento1"/>
    <w:basedOn w:val="Standard"/>
    <w:qFormat/>
    <w:pPr>
      <w:shd w:val="clear" w:color="auto" w:fill="000080"/>
    </w:pPr>
    <w:rPr>
      <w:rFonts w:ascii="Tahoma" w:hAnsi="Tahoma" w:eastAsia="Tahoma" w:cs="Tahoma"/>
    </w:rPr>
  </w:style>
  <w:style w:type="paragraph" w:styleId="Intestazioneepidipagina" w:customStyle="1">
    <w:name w:val="Intestazione e piè di pagina"/>
    <w:basedOn w:val="Standard"/>
    <w:qFormat/>
    <w:pPr>
      <w:suppressLineNumbers/>
      <w:tabs>
        <w:tab w:val="clear" w:pos="408"/>
        <w:tab w:val="center" w:pos="4819" w:leader="none"/>
        <w:tab w:val="right" w:pos="9638" w:leader="none"/>
      </w:tabs>
    </w:pPr>
    <w:rPr/>
  </w:style>
  <w:style w:type="paragraph" w:styleId="Intestazione">
    <w:name w:val="Header"/>
    <w:basedOn w:val="Standard"/>
    <w:pPr>
      <w:widowControl w:val="false"/>
      <w:tabs>
        <w:tab w:val="clear" w:pos="408"/>
        <w:tab w:val="center" w:pos="4819" w:leader="none"/>
        <w:tab w:val="right" w:pos="9638" w:leader="none"/>
      </w:tabs>
    </w:pPr>
    <w:rPr/>
  </w:style>
  <w:style w:type="paragraph" w:styleId="Didascalia1" w:customStyle="1">
    <w:name w:val="Didascalia1"/>
    <w:basedOn w:val="Standard"/>
    <w:qFormat/>
    <w:pPr>
      <w:suppressLineNumbers/>
      <w:spacing w:before="120" w:after="120"/>
    </w:pPr>
    <w:rPr>
      <w:rFonts w:cs="Arial"/>
      <w:i/>
      <w:iCs/>
    </w:rPr>
  </w:style>
  <w:style w:type="paragraph" w:styleId="Intestazione1" w:customStyle="1">
    <w:name w:val="Intestazione1"/>
    <w:basedOn w:val="Standard"/>
    <w:next w:val="Textbody"/>
    <w:qFormat/>
    <w:pPr>
      <w:keepNext w:val="true"/>
      <w:spacing w:before="240" w:after="120"/>
    </w:pPr>
    <w:rPr>
      <w:rFonts w:ascii="Arial" w:hAnsi="Arial" w:eastAsia="Microsoft YaHei" w:cs="Arial"/>
      <w:sz w:val="28"/>
      <w:szCs w:val="28"/>
    </w:rPr>
  </w:style>
  <w:style w:type="paragraph" w:styleId="Titolo111" w:customStyle="1">
    <w:name w:val="Titolo11"/>
    <w:basedOn w:val="Standard"/>
    <w:next w:val="Textbody"/>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9d41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LibreOffice/6.4.4.2$Windows_X86_64 LibreOffice_project/3d775be2011f3886db32dfd395a6a6d1ca2630ff</Application>
  <Pages>6</Pages>
  <Words>2723</Words>
  <Characters>17058</Characters>
  <CharactersWithSpaces>19675</CharactersWithSpaces>
  <Paragraphs>138</Paragraphs>
  <Company>Provincia.Parma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2025-07-15T14:48:00Z</dcterms:created>
  <dc:creator>Provincia di Parma</dc:creator>
  <dc:description/>
  <dc:language>it-IT</dc:language>
  <cp:lastModifiedBy/>
  <dcterms:modified xsi:type="dcterms:W3CDTF">2025-07-17T08:53:23Z</dcterms:modified>
  <cp:revision>4</cp:revision>
  <dc:subject/>
  <dc:title>Riferimento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