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tbl>
      <w:tblPr>
        <w:tblW w:w="10550" w:type="dxa"/>
        <w:jc w:val="left"/>
        <w:tblInd w:w="-70" w:type="dxa"/>
        <w:tblCellMar>
          <w:top w:w="0" w:type="dxa"/>
          <w:left w:w="70" w:type="dxa"/>
          <w:bottom w:w="0" w:type="dxa"/>
          <w:right w:w="70" w:type="dxa"/>
        </w:tblCellMar>
        <w:tblLook w:firstRow="0" w:noVBand="0" w:lastRow="0" w:firstColumn="0" w:lastColumn="0" w:noHBand="0" w:val="0000"/>
      </w:tblPr>
      <w:tblGrid>
        <w:gridCol w:w="1912"/>
        <w:gridCol w:w="2451"/>
        <w:gridCol w:w="3399"/>
        <w:gridCol w:w="462"/>
        <w:gridCol w:w="1224"/>
        <w:gridCol w:w="1102"/>
      </w:tblGrid>
      <w:tr>
        <w:trPr>
          <w:trHeight w:val="975" w:hRule="atLeast"/>
          <w:cantSplit w:val="true"/>
        </w:trPr>
        <w:tc>
          <w:tcPr>
            <w:tcW w:w="1912" w:type="dxa"/>
            <w:tcBorders/>
          </w:tcPr>
          <w:p>
            <w:pPr>
              <w:pStyle w:val="Standard"/>
              <w:ind w:right="-144" w:hanging="0"/>
              <w:jc w:val="center"/>
              <w:rPr/>
            </w:pPr>
            <w:r>
              <w:rPr/>
              <w:drawing>
                <wp:inline distT="0" distB="0" distL="0" distR="0">
                  <wp:extent cx="1025525" cy="934085"/>
                  <wp:effectExtent l="0" t="0" r="0" b="0"/>
                  <wp:docPr id="1" name="Immagin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magine1" descr=""/>
                          <pic:cNvPicPr>
                            <a:picLocks noChangeAspect="1" noChangeArrowheads="1"/>
                          </pic:cNvPicPr>
                        </pic:nvPicPr>
                        <pic:blipFill>
                          <a:blip r:embed="rId2"/>
                          <a:srcRect l="-857" t="-988" r="-857" b="-988"/>
                          <a:stretch>
                            <a:fillRect/>
                          </a:stretch>
                        </pic:blipFill>
                        <pic:spPr bwMode="auto">
                          <a:xfrm>
                            <a:off x="0" y="0"/>
                            <a:ext cx="1025525" cy="934085"/>
                          </a:xfrm>
                          <a:prstGeom prst="rect">
                            <a:avLst/>
                          </a:prstGeom>
                        </pic:spPr>
                      </pic:pic>
                    </a:graphicData>
                  </a:graphic>
                </wp:inline>
              </w:drawing>
            </w:r>
          </w:p>
          <w:p>
            <w:pPr>
              <w:pStyle w:val="Titolo6"/>
              <w:ind w:right="-144" w:hanging="0"/>
              <w:rPr/>
            </w:pPr>
            <w:r>
              <w:rPr/>
            </w:r>
          </w:p>
          <w:p>
            <w:pPr>
              <w:pStyle w:val="Standard"/>
              <w:ind w:right="-144" w:hanging="0"/>
              <w:jc w:val="center"/>
              <w:rPr>
                <w:sz w:val="18"/>
              </w:rPr>
            </w:pPr>
            <w:r>
              <w:rPr>
                <w:sz w:val="18"/>
              </w:rPr>
              <w:t>Il Funzionario</w:t>
            </w:r>
          </w:p>
        </w:tc>
        <w:tc>
          <w:tcPr>
            <w:tcW w:w="2451" w:type="dxa"/>
            <w:tcBorders/>
          </w:tcPr>
          <w:p>
            <w:pPr>
              <w:pStyle w:val="Testonormale1"/>
              <w:widowControl/>
              <w:ind w:right="-144" w:hanging="0"/>
              <w:rPr>
                <w:rFonts w:ascii="Times New Roman" w:hAnsi="Times New Roman" w:cs="Times New Roman"/>
                <w:b/>
                <w:b/>
                <w:sz w:val="16"/>
              </w:rPr>
            </w:pPr>
            <w:r>
              <w:rPr>
                <w:rFonts w:cs="Times New Roman" w:ascii="Times New Roman" w:hAnsi="Times New Roman"/>
                <w:b/>
                <w:sz w:val="16"/>
              </w:rPr>
              <w:t xml:space="preserve"> </w:t>
            </w:r>
          </w:p>
        </w:tc>
        <w:tc>
          <w:tcPr>
            <w:tcW w:w="3399" w:type="dxa"/>
            <w:tcBorders/>
          </w:tcPr>
          <w:p>
            <w:pPr>
              <w:pStyle w:val="Testonormale1"/>
              <w:widowControl/>
              <w:snapToGrid w:val="false"/>
              <w:ind w:right="-144" w:hanging="0"/>
              <w:rPr>
                <w:rFonts w:ascii="Times New Roman" w:hAnsi="Times New Roman" w:cs="Times New Roman"/>
                <w:b/>
                <w:b/>
                <w:sz w:val="16"/>
              </w:rPr>
            </w:pPr>
            <w:r>
              <w:rPr>
                <w:rFonts w:cs="Times New Roman" w:ascii="Times New Roman" w:hAnsi="Times New Roman"/>
                <w:b/>
                <w:sz w:val="16"/>
              </w:rPr>
            </w:r>
          </w:p>
          <w:p>
            <w:pPr>
              <w:pStyle w:val="Testonormale1"/>
              <w:widowControl/>
              <w:ind w:right="-144" w:hanging="0"/>
              <w:rPr>
                <w:rFonts w:ascii="Times New Roman" w:hAnsi="Times New Roman" w:cs="Times New Roman"/>
                <w:b/>
                <w:b/>
                <w:sz w:val="16"/>
              </w:rPr>
            </w:pPr>
            <w:r>
              <w:rPr>
                <w:rFonts w:cs="Times New Roman" w:ascii="Times New Roman" w:hAnsi="Times New Roman"/>
                <w:b/>
                <w:sz w:val="16"/>
              </w:rPr>
            </w:r>
          </w:p>
          <w:p>
            <w:pPr>
              <w:pStyle w:val="Testonormale1"/>
              <w:widowControl/>
              <w:ind w:right="-144" w:hanging="0"/>
              <w:rPr>
                <w:rFonts w:ascii="Times New Roman" w:hAnsi="Times New Roman" w:cs="Times New Roman"/>
                <w:b/>
                <w:b/>
                <w:sz w:val="16"/>
              </w:rPr>
            </w:pPr>
            <w:r>
              <w:rPr>
                <w:rFonts w:cs="Times New Roman" w:ascii="Times New Roman" w:hAnsi="Times New Roman"/>
                <w:b/>
                <w:sz w:val="16"/>
              </w:rPr>
            </w:r>
          </w:p>
          <w:p>
            <w:pPr>
              <w:pStyle w:val="Testonormale1"/>
              <w:widowControl/>
              <w:ind w:right="-144" w:hanging="0"/>
              <w:rPr>
                <w:rFonts w:ascii="Times New Roman" w:hAnsi="Times New Roman" w:cs="Times New Roman"/>
                <w:b/>
                <w:b/>
                <w:sz w:val="16"/>
              </w:rPr>
            </w:pPr>
            <w:r>
              <w:rPr>
                <w:rFonts w:cs="Times New Roman" w:ascii="Times New Roman" w:hAnsi="Times New Roman"/>
                <w:b/>
                <w:sz w:val="16"/>
              </w:rPr>
            </w:r>
          </w:p>
          <w:p>
            <w:pPr>
              <w:pStyle w:val="Testonormale1"/>
              <w:widowControl/>
              <w:ind w:right="-144" w:hanging="0"/>
              <w:rPr>
                <w:rFonts w:ascii="Times New Roman" w:hAnsi="Times New Roman" w:cs="Times New Roman"/>
                <w:b/>
                <w:b/>
                <w:sz w:val="16"/>
              </w:rPr>
            </w:pPr>
            <w:r>
              <w:rPr>
                <w:rFonts w:cs="Times New Roman" w:ascii="Times New Roman" w:hAnsi="Times New Roman"/>
                <w:b/>
                <w:sz w:val="16"/>
              </w:rPr>
              <w:t>Servizio Edilizia Scolastica</w:t>
            </w:r>
          </w:p>
          <w:p>
            <w:pPr>
              <w:pStyle w:val="Testonormale1"/>
              <w:widowControl/>
              <w:ind w:right="-144" w:hanging="0"/>
              <w:rPr>
                <w:rFonts w:ascii="Times New Roman" w:hAnsi="Times New Roman" w:cs="Times New Roman"/>
                <w:b/>
                <w:b/>
                <w:sz w:val="16"/>
              </w:rPr>
            </w:pPr>
            <w:r>
              <w:rPr>
                <w:rFonts w:cs="Times New Roman" w:ascii="Times New Roman" w:hAnsi="Times New Roman"/>
                <w:b/>
                <w:sz w:val="16"/>
              </w:rPr>
            </w:r>
          </w:p>
          <w:p>
            <w:pPr>
              <w:pStyle w:val="Testonormale1"/>
              <w:widowControl/>
              <w:ind w:left="-70" w:right="-144" w:hanging="0"/>
              <w:rPr>
                <w:rFonts w:ascii="Times New Roman" w:hAnsi="Times New Roman" w:cs="Times New Roman"/>
                <w:b/>
                <w:b/>
                <w:sz w:val="16"/>
              </w:rPr>
            </w:pPr>
            <w:r>
              <w:rPr>
                <w:rFonts w:cs="Times New Roman" w:ascii="Times New Roman" w:hAnsi="Times New Roman"/>
                <w:b/>
                <w:sz w:val="16"/>
              </w:rPr>
              <w:t xml:space="preserve">  </w:t>
            </w:r>
            <w:r>
              <w:rPr>
                <w:rFonts w:cs="Times New Roman" w:ascii="Times New Roman" w:hAnsi="Times New Roman"/>
                <w:b/>
                <w:sz w:val="16"/>
              </w:rPr>
              <w:t>U.O. Edilizia Scolastica</w:t>
            </w:r>
          </w:p>
        </w:tc>
        <w:tc>
          <w:tcPr>
            <w:tcW w:w="462" w:type="dxa"/>
            <w:tcBorders/>
          </w:tcPr>
          <w:p>
            <w:pPr>
              <w:pStyle w:val="Testonormale1"/>
              <w:widowControl/>
              <w:snapToGrid w:val="false"/>
              <w:ind w:right="-144" w:hanging="0"/>
              <w:rPr/>
            </w:pPr>
            <w:r>
              <w:rPr/>
            </w:r>
          </w:p>
        </w:tc>
        <w:tc>
          <w:tcPr>
            <w:tcW w:w="2326" w:type="dxa"/>
            <w:gridSpan w:val="2"/>
            <w:tcBorders/>
          </w:tcPr>
          <w:p>
            <w:pPr>
              <w:pStyle w:val="Titolo1"/>
              <w:shd w:fill="F2F2F2" w:val="clear"/>
              <w:spacing w:before="113" w:after="113"/>
              <w:ind w:right="-144" w:hanging="0"/>
              <w:rPr>
                <w:b w:val="false"/>
                <w:b w:val="false"/>
                <w:sz w:val="16"/>
              </w:rPr>
            </w:pPr>
            <w:r>
              <w:rPr>
                <w:b w:val="false"/>
                <w:sz w:val="16"/>
              </w:rPr>
              <w:t>Viale Martiri</w:t>
            </w:r>
          </w:p>
          <w:p>
            <w:pPr>
              <w:pStyle w:val="Titolo1"/>
              <w:shd w:fill="F2F2F2" w:val="clear"/>
              <w:spacing w:before="113" w:after="113"/>
              <w:ind w:right="-144" w:hanging="0"/>
              <w:rPr>
                <w:b w:val="false"/>
                <w:b w:val="false"/>
                <w:sz w:val="16"/>
              </w:rPr>
            </w:pPr>
            <w:r>
              <w:rPr>
                <w:b w:val="false"/>
                <w:sz w:val="16"/>
              </w:rPr>
              <w:t>della Libertà n.15</w:t>
            </w:r>
          </w:p>
          <w:p>
            <w:pPr>
              <w:pStyle w:val="Standard"/>
              <w:ind w:right="-144" w:hanging="0"/>
              <w:rPr>
                <w:sz w:val="16"/>
              </w:rPr>
            </w:pPr>
            <w:r>
              <w:rPr>
                <w:sz w:val="16"/>
              </w:rPr>
              <w:t>43123 Parma</w:t>
            </w:r>
          </w:p>
          <w:p>
            <w:pPr>
              <w:pStyle w:val="Standard"/>
              <w:ind w:right="-144" w:hanging="0"/>
              <w:rPr>
                <w:sz w:val="16"/>
              </w:rPr>
            </w:pPr>
            <w:r>
              <w:rPr>
                <w:sz w:val="16"/>
              </w:rPr>
              <w:t>Tel. 0521 931924</w:t>
            </w:r>
          </w:p>
          <w:p>
            <w:pPr>
              <w:pStyle w:val="Standard"/>
              <w:ind w:right="-144" w:hanging="0"/>
              <w:rPr>
                <w:sz w:val="16"/>
              </w:rPr>
            </w:pPr>
            <w:r>
              <w:rPr>
                <w:sz w:val="16"/>
              </w:rPr>
              <w:t>Fax 0521 931755</w:t>
            </w:r>
          </w:p>
        </w:tc>
      </w:tr>
      <w:tr>
        <w:trPr>
          <w:trHeight w:val="80" w:hRule="exact"/>
          <w:cantSplit w:val="true"/>
        </w:trPr>
        <w:tc>
          <w:tcPr>
            <w:tcW w:w="9448" w:type="dxa"/>
            <w:gridSpan w:val="5"/>
            <w:tcBorders/>
          </w:tcPr>
          <w:p>
            <w:pPr>
              <w:pStyle w:val="Standard"/>
              <w:snapToGrid w:val="false"/>
              <w:ind w:right="-144" w:hanging="0"/>
              <w:rPr>
                <w:b/>
                <w:b/>
                <w:color w:val="808080"/>
              </w:rPr>
            </w:pPr>
            <w:r>
              <w:rPr>
                <w:b/>
                <w:color w:val="808080"/>
              </w:rPr>
              <mc:AlternateContent>
                <mc:Choice Requires="wps">
                  <w:drawing>
                    <wp:anchor behindDoc="0" distT="0" distB="0" distL="0" distR="0" simplePos="0" locked="0" layoutInCell="1" allowOverlap="1" relativeHeight="3">
                      <wp:simplePos x="0" y="0"/>
                      <wp:positionH relativeFrom="column">
                        <wp:posOffset>-13335</wp:posOffset>
                      </wp:positionH>
                      <wp:positionV relativeFrom="paragraph">
                        <wp:posOffset>28575</wp:posOffset>
                      </wp:positionV>
                      <wp:extent cx="7056755" cy="635"/>
                      <wp:effectExtent l="38100" t="38100" r="30600" b="38100"/>
                      <wp:wrapNone/>
                      <wp:docPr id="2" name="Connettore diritto 2"/>
                      <a:graphic xmlns:a="http://schemas.openxmlformats.org/drawingml/2006/main">
                        <a:graphicData uri="http://schemas.microsoft.com/office/word/2010/wordprocessingShape">
                          <wps:wsp>
                            <wps:cNvSpPr/>
                            <wps:spPr>
                              <a:xfrm>
                                <a:off x="0" y="0"/>
                                <a:ext cx="7056000" cy="0"/>
                              </a:xfrm>
                              <a:prstGeom prst="line">
                                <a:avLst/>
                              </a:prstGeom>
                              <a:ln cap="sq" w="38160">
                                <a:solidFill>
                                  <a:srgbClr val="c0c0c0"/>
                                </a:solidFill>
                                <a:miter/>
                              </a:ln>
                            </wps:spPr>
                            <wps:style>
                              <a:lnRef idx="0"/>
                              <a:fillRef idx="0"/>
                              <a:effectRef idx="0"/>
                              <a:fontRef idx="minor"/>
                            </wps:style>
                            <wps:bodyPr/>
                          </wps:wsp>
                        </a:graphicData>
                      </a:graphic>
                    </wp:anchor>
                  </w:drawing>
                </mc:Choice>
                <mc:Fallback>
                  <w:pict>
                    <v:line id="shape_0" from="-1.05pt,2.25pt" to="554.5pt,2.25pt" ID="Connettore diritto 2" stroked="t" style="position:absolute">
                      <v:stroke color="silver" weight="38160" joinstyle="miter" endcap="square"/>
                      <v:fill o:detectmouseclick="t" on="false"/>
                    </v:line>
                  </w:pict>
                </mc:Fallback>
              </mc:AlternateContent>
            </w:r>
          </w:p>
        </w:tc>
        <w:tc>
          <w:tcPr>
            <w:tcW w:w="1102" w:type="dxa"/>
            <w:tcBorders/>
          </w:tcPr>
          <w:p>
            <w:pPr>
              <w:pStyle w:val="Standard"/>
              <w:snapToGrid w:val="false"/>
              <w:ind w:right="-144" w:hanging="0"/>
              <w:rPr>
                <w:b/>
                <w:b/>
                <w:color w:val="808080"/>
              </w:rPr>
            </w:pPr>
            <w:r>
              <w:rPr>
                <w:b/>
                <w:color w:val="808080"/>
              </w:rPr>
            </w:r>
          </w:p>
        </w:tc>
      </w:tr>
      <w:tr>
        <w:trPr>
          <w:trHeight w:val="103" w:hRule="atLeast"/>
          <w:cantSplit w:val="true"/>
        </w:trPr>
        <w:tc>
          <w:tcPr>
            <w:tcW w:w="1912" w:type="dxa"/>
            <w:tcBorders/>
          </w:tcPr>
          <w:p>
            <w:pPr>
              <w:pStyle w:val="Titolo6"/>
              <w:ind w:right="-144" w:hanging="0"/>
              <w:jc w:val="left"/>
              <w:rPr>
                <w:lang w:val="fr-FR"/>
              </w:rPr>
            </w:pPr>
            <w:r>
              <w:rPr>
                <w:lang w:val="fr-FR"/>
              </w:rPr>
              <w:t xml:space="preserve"> </w:t>
            </w:r>
            <w:r>
              <w:rPr>
                <w:lang w:val="fr-FR"/>
              </w:rPr>
              <w:t>Ing. Paola Cassinelli</w:t>
            </w:r>
          </w:p>
        </w:tc>
        <w:tc>
          <w:tcPr>
            <w:tcW w:w="2451" w:type="dxa"/>
            <w:tcBorders/>
          </w:tcPr>
          <w:p>
            <w:pPr>
              <w:pStyle w:val="Intestazione"/>
              <w:widowControl/>
              <w:tabs>
                <w:tab w:val="clear" w:pos="4819"/>
                <w:tab w:val="clear" w:pos="9638"/>
              </w:tabs>
              <w:snapToGrid w:val="false"/>
              <w:ind w:left="1348" w:right="-144" w:hanging="0"/>
              <w:rPr>
                <w:lang w:val="fr-FR"/>
              </w:rPr>
            </w:pPr>
            <w:r>
              <w:rPr>
                <w:lang w:val="fr-FR"/>
              </w:rPr>
            </w:r>
          </w:p>
        </w:tc>
        <w:tc>
          <w:tcPr>
            <w:tcW w:w="3399" w:type="dxa"/>
            <w:tcBorders/>
          </w:tcPr>
          <w:p>
            <w:pPr>
              <w:pStyle w:val="Standard"/>
              <w:ind w:right="-144" w:hanging="0"/>
              <w:rPr/>
            </w:pPr>
            <w:r>
              <w:rPr>
                <w:b/>
                <w:spacing w:val="10"/>
                <w:sz w:val="16"/>
              </w:rPr>
              <w:t xml:space="preserve">e-mail </w:t>
            </w:r>
            <w:r>
              <w:rPr>
                <w:spacing w:val="10"/>
                <w:sz w:val="16"/>
              </w:rPr>
              <w:t xml:space="preserve"> p.cassinelli@provincia.parma.it</w:t>
            </w:r>
          </w:p>
        </w:tc>
        <w:tc>
          <w:tcPr>
            <w:tcW w:w="2788" w:type="dxa"/>
            <w:gridSpan w:val="3"/>
            <w:tcBorders/>
          </w:tcPr>
          <w:p>
            <w:pPr>
              <w:pStyle w:val="Intestazione"/>
              <w:widowControl/>
              <w:tabs>
                <w:tab w:val="clear" w:pos="4819"/>
                <w:tab w:val="clear" w:pos="9638"/>
              </w:tabs>
              <w:ind w:left="-212" w:right="-144" w:hanging="0"/>
              <w:jc w:val="center"/>
              <w:rPr>
                <w:spacing w:val="10"/>
                <w:sz w:val="16"/>
              </w:rPr>
            </w:pPr>
            <w:r>
              <w:rPr>
                <w:spacing w:val="10"/>
                <w:sz w:val="16"/>
              </w:rPr>
              <w:t>www.provincia.parma.it</w:t>
            </w:r>
          </w:p>
        </w:tc>
      </w:tr>
    </w:tbl>
    <w:p>
      <w:pPr>
        <w:pStyle w:val="Standard"/>
        <w:tabs>
          <w:tab w:val="clear" w:pos="720"/>
          <w:tab w:val="left" w:pos="570" w:leader="none"/>
          <w:tab w:val="left" w:pos="5385" w:leader="none"/>
        </w:tabs>
        <w:spacing w:before="567" w:after="567"/>
        <w:rPr/>
      </w:pPr>
      <w:r>
        <w:rPr>
          <w:rFonts w:cs="Verdana" w:ascii="Verdana" w:hAnsi="Verdana"/>
          <w:shd w:fill="FFFFFF" w:val="clear"/>
        </w:rPr>
        <w:tab/>
        <w:t>Parma, ……………../…..../2023</w:t>
      </w:r>
      <w:r>
        <w:rPr>
          <w:rFonts w:cs="Verdana" w:ascii="Verdana" w:hAnsi="Verdana"/>
        </w:rPr>
        <w:tab/>
        <w:t xml:space="preserve">     Prot n. …..</w:t>
      </w:r>
    </w:p>
    <w:p>
      <w:pPr>
        <w:pStyle w:val="Standard"/>
        <w:tabs>
          <w:tab w:val="clear" w:pos="720"/>
          <w:tab w:val="left" w:pos="5385" w:leader="none"/>
        </w:tabs>
        <w:rPr>
          <w:rFonts w:ascii="Verdana" w:hAnsi="Verdana" w:cs="Verdana"/>
          <w:highlight w:val="white"/>
        </w:rPr>
      </w:pPr>
      <w:r>
        <w:rPr/>
        <w:tab/>
        <w:t xml:space="preserve">      </w:t>
      </w:r>
      <w:r>
        <w:rPr>
          <w:rFonts w:cs="Verdana" w:ascii="Verdana" w:hAnsi="Verdana"/>
          <w:shd w:fill="FFFFFF" w:val="clear"/>
        </w:rPr>
        <w:t>Spett.le</w:t>
      </w:r>
    </w:p>
    <w:p>
      <w:pPr>
        <w:pStyle w:val="Standard"/>
        <w:tabs>
          <w:tab w:val="clear" w:pos="720"/>
          <w:tab w:val="left" w:pos="5670" w:leader="none"/>
        </w:tabs>
        <w:rPr/>
      </w:pPr>
      <w:r>
        <w:rPr>
          <w:rFonts w:cs="Verdana" w:ascii="Verdana" w:hAnsi="Verdana"/>
          <w:iCs/>
          <w:color w:val="000000"/>
          <w:spacing w:val="10"/>
          <w:kern w:val="2"/>
          <w:shd w:fill="FFFFFF" w:val="clear"/>
        </w:rPr>
        <w:tab/>
        <w:t>Ing. Claudio Franchi</w:t>
      </w:r>
    </w:p>
    <w:p>
      <w:pPr>
        <w:pStyle w:val="Standard"/>
        <w:tabs>
          <w:tab w:val="clear" w:pos="720"/>
          <w:tab w:val="left" w:pos="5670" w:leader="none"/>
        </w:tabs>
        <w:rPr/>
      </w:pPr>
      <w:r>
        <w:rPr>
          <w:rFonts w:cs="Verdana" w:ascii="Verdana" w:hAnsi="Verdana"/>
          <w:shd w:fill="FFFFFF" w:val="clear"/>
        </w:rPr>
        <w:tab/>
        <w:t>P.zza Unità d’Italia, n. 56</w:t>
      </w:r>
    </w:p>
    <w:p>
      <w:pPr>
        <w:pStyle w:val="Standard"/>
        <w:tabs>
          <w:tab w:val="clear" w:pos="720"/>
          <w:tab w:val="left" w:pos="5670" w:leader="none"/>
        </w:tabs>
        <w:rPr/>
      </w:pPr>
      <w:r>
        <w:rPr>
          <w:rFonts w:cs="Verdana" w:ascii="Verdana" w:hAnsi="Verdana"/>
          <w:shd w:fill="FFFFFF" w:val="clear"/>
        </w:rPr>
        <w:tab/>
        <w:t>42017 - Novellara (RE)</w:t>
      </w:r>
    </w:p>
    <w:p>
      <w:pPr>
        <w:pStyle w:val="Titolo1"/>
        <w:shd w:fill="F2F2F2" w:val="clear"/>
        <w:spacing w:before="567" w:after="567"/>
        <w:jc w:val="center"/>
        <w:rPr/>
      </w:pPr>
      <w:r>
        <w:rPr/>
        <w:t>LETTERA D’ORDINE</w:t>
      </w:r>
    </w:p>
    <w:p>
      <w:pPr>
        <w:pStyle w:val="Titolo2"/>
        <w:ind w:left="1417" w:hanging="1417"/>
        <w:jc w:val="left"/>
        <w:rPr/>
      </w:pPr>
      <w:r>
        <w:rPr>
          <w:rFonts w:cs="Arial"/>
        </w:rPr>
        <w:t>Oggetto:</w:t>
        <w:tab/>
      </w:r>
      <w:r>
        <w:rPr/>
        <w:t>INTERVENTI DI MANUTENZIONE STRAORDINARIA ITIS DA VINCI DI PARMA - CUP D98B20001010001 - (FIN. UE - NEXT GENERATION EU)</w:t>
      </w:r>
      <w:r>
        <w:rPr>
          <w:rFonts w:cs="Arial"/>
        </w:rPr>
        <w:t xml:space="preserve"> - </w:t>
      </w:r>
      <w:r>
        <w:rPr/>
        <w:t>Collaudo statico e collaudo tecnico/amministrativo</w:t>
      </w:r>
    </w:p>
    <w:p>
      <w:pPr>
        <w:pStyle w:val="Titolo2"/>
        <w:ind w:left="1417" w:hanging="0"/>
        <w:jc w:val="left"/>
        <w:rPr/>
      </w:pPr>
      <w:r>
        <w:rPr>
          <w:rFonts w:cs="Arial"/>
          <w:b w:val="false"/>
          <w:i/>
          <w:iCs/>
          <w:sz w:val="24"/>
          <w:szCs w:val="24"/>
        </w:rPr>
        <w:t xml:space="preserve">CUP: </w:t>
      </w:r>
      <w:r>
        <w:rPr>
          <w:i/>
          <w:iCs/>
        </w:rPr>
        <w:t>D98B20001010001</w:t>
      </w:r>
    </w:p>
    <w:p>
      <w:pPr>
        <w:pStyle w:val="Titolo2"/>
        <w:ind w:left="1417" w:hanging="0"/>
        <w:jc w:val="left"/>
        <w:rPr/>
      </w:pPr>
      <w:r>
        <w:rPr>
          <w:rFonts w:cs="Arial"/>
          <w:b w:val="false"/>
          <w:i/>
          <w:iCs/>
          <w:sz w:val="24"/>
          <w:szCs w:val="24"/>
        </w:rPr>
        <w:t xml:space="preserve">CIG: </w:t>
      </w:r>
      <w:r>
        <w:rPr>
          <w:i/>
          <w:iCs/>
        </w:rPr>
        <w:t>9922105C0F</w:t>
      </w:r>
    </w:p>
    <w:p>
      <w:pPr>
        <w:pStyle w:val="Corpodeltesto21"/>
        <w:ind w:right="-144" w:hanging="0"/>
        <w:rPr>
          <w:rFonts w:eastAsia="Times New Roman"/>
        </w:rPr>
      </w:pPr>
      <w:r>
        <w:rPr>
          <w:rFonts w:eastAsia="Times New Roman"/>
        </w:rPr>
      </w:r>
    </w:p>
    <w:p>
      <w:pPr>
        <w:pStyle w:val="Corpodeltesto21"/>
        <w:rPr>
          <w:rFonts w:eastAsia="Times New Roman"/>
        </w:rPr>
      </w:pPr>
      <w:r>
        <w:rPr>
          <w:rFonts w:eastAsia="Times New Roman"/>
        </w:rPr>
      </w:r>
    </w:p>
    <w:p>
      <w:pPr>
        <w:pStyle w:val="Corpodeltesto21"/>
        <w:rPr>
          <w:rFonts w:eastAsia="Times New Roman"/>
        </w:rPr>
      </w:pPr>
      <w:r>
        <w:rPr>
          <w:rFonts w:eastAsia="Times New Roman"/>
        </w:rPr>
        <w:t>Premesso che:</w:t>
      </w:r>
    </w:p>
    <w:p>
      <w:pPr>
        <w:pStyle w:val="Corpodeltesto21"/>
        <w:rPr/>
      </w:pPr>
      <w:r>
        <w:rPr>
          <w:rFonts w:eastAsia="Times New Roman"/>
        </w:rPr>
        <w:t xml:space="preserve">con determinazione </w:t>
      </w:r>
      <w:r>
        <w:rPr>
          <w:rFonts w:eastAsia="Times New Roman"/>
          <w:spacing w:val="10"/>
          <w:kern w:val="2"/>
          <w:shd w:fill="FFFFFF" w:val="clear"/>
        </w:rPr>
        <w:t xml:space="preserve">  </w:t>
      </w:r>
      <w:r>
        <w:rPr>
          <w:rFonts w:eastAsia="Times New Roman"/>
        </w:rPr>
        <w:t>si è provveduto all’affidamento dell’incarico profe</w:t>
      </w:r>
      <w:r>
        <w:rPr/>
        <w:t>ssionale in oggetto;</w:t>
      </w:r>
    </w:p>
    <w:p>
      <w:pPr>
        <w:pStyle w:val="Corpodeltesto21"/>
        <w:rPr/>
      </w:pPr>
      <w:r>
        <w:rPr/>
      </w:r>
    </w:p>
    <w:p>
      <w:pPr>
        <w:pStyle w:val="Corpodeltesto21"/>
        <w:rPr/>
      </w:pPr>
      <w:r>
        <w:rPr/>
        <w:t>con il medesimo atto è stato approvato il presente schema di disciplinare regolante l’incarico;</w:t>
      </w:r>
    </w:p>
    <w:p>
      <w:pPr>
        <w:pStyle w:val="Corpodeltesto21"/>
        <w:rPr/>
      </w:pPr>
      <w:r>
        <w:rPr/>
      </w:r>
    </w:p>
    <w:p>
      <w:pPr>
        <w:pStyle w:val="Corpodeltesto21"/>
        <w:rPr/>
      </w:pPr>
      <w:r>
        <w:rPr>
          <w:rFonts w:eastAsia="Times New Roman"/>
        </w:rPr>
        <w:t>Richiamati</w:t>
      </w:r>
      <w:r>
        <w:rPr/>
        <w:t>:</w:t>
      </w:r>
    </w:p>
    <w:p>
      <w:pPr>
        <w:pStyle w:val="Corpodeltesto21"/>
        <w:rPr/>
      </w:pPr>
      <w:r>
        <w:rPr/>
        <w:t>l’art. 36 comma 2, lettera a) del D.Lgs. 50/2016;</w:t>
      </w:r>
    </w:p>
    <w:p>
      <w:pPr>
        <w:pStyle w:val="Corpodeltesto21"/>
        <w:rPr/>
      </w:pPr>
      <w:r>
        <w:rPr/>
      </w:r>
    </w:p>
    <w:p>
      <w:pPr>
        <w:pStyle w:val="Corpodeltesto21"/>
        <w:rPr/>
      </w:pPr>
      <w:r>
        <w:rPr/>
        <w:t>l’art. 3 della L 136/2010, nel quale è previsto che l’aggiudicatario, a pena di nullità assoluta del futuro contratto, dovrà assumere gli obblighi della tracciabilità dei flussi finanziari mediante l’utilizzo di conto corrente bancario o postale dedicato a tutti i movimenti finanziari afferenti al progetto oggetto del contratto medesimo, da accendersi presso Istituto Bancario o Società Poste Italiane S.p.A., tramite il quale dovranno avvenire le movimentazioni, avvalendosi dello strumento consistente nel bonifico bancario o postale;</w:t>
      </w:r>
    </w:p>
    <w:p>
      <w:pPr>
        <w:pStyle w:val="Corpodeltesto21"/>
        <w:rPr/>
      </w:pPr>
      <w:r>
        <w:rPr/>
      </w:r>
    </w:p>
    <w:p>
      <w:pPr>
        <w:pStyle w:val="Corpodeltesto21"/>
        <w:rPr/>
      </w:pPr>
      <w:r>
        <w:rPr/>
        <w:t>il comma 7 dell’art.3, della precitata normativa, il quale stabilisce che i soggetti di cui al co.1 del medesimo art. 3, dovranno comunicare alla stazione appaltante gli estremi identificativi dei conti dedicati, entro sette giorni dalla loro accensione, nonché, nello stesso termine, le generalità ed il codice fiscale delle persone delegate ad operare su di essi.</w:t>
      </w:r>
    </w:p>
    <w:p>
      <w:pPr>
        <w:pStyle w:val="Corpodeltesto21"/>
        <w:rPr/>
      </w:pPr>
      <w:r>
        <w:rPr/>
      </w:r>
    </w:p>
    <w:p>
      <w:pPr>
        <w:pStyle w:val="Corpodeltesto21"/>
        <w:rPr/>
      </w:pPr>
      <w:r>
        <w:rPr/>
        <w:t>Il comma 9, dell’art.3, il quale stabilisce che l’affidatario, nell’eventualità di contratti stipulati con subappaltatori e/o subcontraenti della filiera delle imprese a qualsiasi titolo interessate a lavori, servizi e forniture, dovrà garantire, nell’ambito dei contratti medesimi, un pari impegno da parte dei subappaltatori e subcontraenti stessi, ad assumere gli obblighi di tracciabilità dei flussi finanziari di cui alla suddetta legge;</w:t>
      </w:r>
    </w:p>
    <w:p>
      <w:pPr>
        <w:pStyle w:val="Corpodeltesto21"/>
        <w:rPr/>
      </w:pPr>
      <w:r>
        <w:rPr/>
      </w:r>
    </w:p>
    <w:p>
      <w:pPr>
        <w:pStyle w:val="Corpodeltesto21"/>
        <w:rPr/>
      </w:pPr>
      <w:r>
        <w:rPr/>
        <w:t>Si stipula quanto segue:</w:t>
      </w:r>
    </w:p>
    <w:p>
      <w:pPr>
        <w:pStyle w:val="Titolo1"/>
        <w:rPr/>
      </w:pPr>
      <w:r>
        <w:rPr/>
        <w:t>Articolo 1 – Oggetto dell’incarico e parti interessate</w:t>
      </w:r>
    </w:p>
    <w:p>
      <w:pPr>
        <w:pStyle w:val="Corpodeltesto21"/>
        <w:rPr/>
      </w:pPr>
      <w:r>
        <w:rPr>
          <w:b/>
          <w:bCs/>
          <w:spacing w:val="10"/>
          <w:kern w:val="2"/>
          <w:shd w:fill="FFFFFF" w:val="clear"/>
        </w:rPr>
        <w:t>Committente</w:t>
      </w:r>
      <w:r>
        <w:rPr>
          <w:spacing w:val="10"/>
          <w:kern w:val="2"/>
          <w:shd w:fill="FFFFFF" w:val="clear"/>
        </w:rPr>
        <w:t>: Provincia di Parma con sede in V.le Martiri della Libertà, 15 – 43123 Parma rappresentata dal Responsabile U.O. Edilizia Scolastica, Ing. Paola Cassinelli</w:t>
      </w:r>
    </w:p>
    <w:p>
      <w:pPr>
        <w:pStyle w:val="Corpodeltesto21"/>
        <w:rPr/>
      </w:pPr>
      <w:r>
        <w:rPr/>
      </w:r>
    </w:p>
    <w:p>
      <w:pPr>
        <w:pStyle w:val="Corpodeltesto21"/>
        <w:rPr/>
      </w:pPr>
      <w:r>
        <w:rPr>
          <w:b/>
          <w:bCs/>
          <w:color w:val="000000"/>
          <w:spacing w:val="10"/>
          <w:kern w:val="2"/>
          <w:shd w:fill="FFFFFF" w:val="clear"/>
        </w:rPr>
        <w:t>Professionisti incaricati:</w:t>
      </w:r>
      <w:r>
        <w:rPr>
          <w:color w:val="000000"/>
          <w:spacing w:val="10"/>
          <w:kern w:val="2"/>
          <w:shd w:fill="FFFFFF" w:val="clear"/>
        </w:rPr>
        <w:t xml:space="preserve"> </w:t>
      </w:r>
      <w:r>
        <w:rPr>
          <w:iCs/>
          <w:color w:val="000000"/>
          <w:spacing w:val="10"/>
          <w:kern w:val="2"/>
          <w:shd w:fill="FFFFFF" w:val="clear"/>
        </w:rPr>
        <w:t xml:space="preserve">Ing. </w:t>
      </w:r>
      <w:r>
        <w:rPr>
          <w:color w:val="000000"/>
          <w:spacing w:val="10"/>
          <w:kern w:val="2"/>
          <w:shd w:fill="FFFFFF" w:val="clear"/>
        </w:rPr>
        <w:t>Claudio Franchi - P.zza Unità d’Italia, 56 - 42017 Novellara (RE) - C.F. FRNCLD75L30F960S - Partita I.V.A. 02542660358</w:t>
      </w:r>
    </w:p>
    <w:p>
      <w:pPr>
        <w:pStyle w:val="Corpodeltesto21"/>
        <w:rPr/>
      </w:pPr>
      <w:r>
        <w:rPr/>
      </w:r>
    </w:p>
    <w:p>
      <w:pPr>
        <w:pStyle w:val="Corpodeltesto21"/>
        <w:rPr/>
      </w:pPr>
      <w:r>
        <w:rPr/>
        <w:t>La Provincia di Parma, con riferimento al progetto “</w:t>
      </w:r>
      <w:r>
        <w:rPr>
          <w:bCs/>
          <w:color w:val="000000"/>
          <w:spacing w:val="10"/>
          <w:kern w:val="2"/>
          <w:shd w:fill="FFFFFF" w:val="clear"/>
        </w:rPr>
        <w:t>INTERVENTI DI MANUTENZIONE STRAORDINARIA ITIS DA VINCI DI PARMA - CUP D98B20001010001 - (FIN. UE - NEXT GENERATION EU)”</w:t>
      </w:r>
      <w:r>
        <w:rPr>
          <w:color w:val="000000"/>
          <w:spacing w:val="10"/>
          <w:kern w:val="2"/>
          <w:shd w:fill="FFFFFF" w:val="clear"/>
        </w:rPr>
        <w:t xml:space="preserve">, </w:t>
      </w:r>
      <w:r>
        <w:rPr/>
        <w:t xml:space="preserve">conferisce al </w:t>
      </w:r>
      <w:r>
        <w:rPr>
          <w:rFonts w:eastAsia="Times New Roman"/>
        </w:rPr>
        <w:t xml:space="preserve">Professionista </w:t>
      </w:r>
      <w:r>
        <w:rPr/>
        <w:t>l’incarico di:</w:t>
      </w:r>
    </w:p>
    <w:p>
      <w:pPr>
        <w:pStyle w:val="Corpodeltesto21"/>
        <w:rPr>
          <w:b/>
          <w:b/>
        </w:rPr>
      </w:pPr>
      <w:r>
        <w:rPr>
          <w:rFonts w:cs="Arial"/>
          <w:b/>
          <w:bCs/>
          <w:color w:val="000000"/>
        </w:rPr>
        <w:t>collaudo tecnico amministrativo e statico sia in corso d’opera che finale.</w:t>
      </w:r>
    </w:p>
    <w:p>
      <w:pPr>
        <w:pStyle w:val="Corpodeltesto21"/>
        <w:rPr/>
      </w:pPr>
      <w:r>
        <w:rPr/>
      </w:r>
    </w:p>
    <w:p>
      <w:pPr>
        <w:pStyle w:val="Corpodeltesto21"/>
        <w:rPr/>
      </w:pPr>
      <w:r>
        <w:rPr/>
        <w:t>Nel dettaglio l’attività riguarda il collaudo tecnico amministrativo e collaudo statico sia in corso d’opera che finale. Il collaudo dovrà corrispondere alle normative vigenti ed in particolare:</w:t>
      </w:r>
    </w:p>
    <w:p>
      <w:pPr>
        <w:pStyle w:val="Corpodeltesto21"/>
        <w:numPr>
          <w:ilvl w:val="0"/>
          <w:numId w:val="2"/>
        </w:numPr>
        <w:ind w:left="567" w:hanging="567"/>
        <w:rPr/>
      </w:pPr>
      <w:r>
        <w:rPr/>
        <w:t>L 1086/1971</w:t>
      </w:r>
    </w:p>
    <w:p>
      <w:pPr>
        <w:pStyle w:val="Corpodeltesto21"/>
        <w:numPr>
          <w:ilvl w:val="0"/>
          <w:numId w:val="2"/>
        </w:numPr>
        <w:ind w:left="567" w:hanging="567"/>
        <w:rPr/>
      </w:pPr>
      <w:r>
        <w:rPr/>
        <w:t>DPR 380/2011</w:t>
      </w:r>
    </w:p>
    <w:p>
      <w:pPr>
        <w:pStyle w:val="Corpodeltesto21"/>
        <w:numPr>
          <w:ilvl w:val="0"/>
          <w:numId w:val="2"/>
        </w:numPr>
        <w:ind w:left="567" w:hanging="567"/>
        <w:rPr/>
      </w:pPr>
      <w:r>
        <w:rPr/>
        <w:t>DM 17/01/2018 (NTC 2018)</w:t>
      </w:r>
    </w:p>
    <w:p>
      <w:pPr>
        <w:pStyle w:val="Corpodeltesto21"/>
        <w:rPr/>
      </w:pPr>
      <w:r>
        <w:rPr/>
      </w:r>
    </w:p>
    <w:p>
      <w:pPr>
        <w:pStyle w:val="Corpodeltesto21"/>
        <w:rPr/>
      </w:pPr>
      <w:r>
        <w:rPr/>
        <w:t>Il professionista si impegna ad eseguire le seguenti prestazioni e a produrre i sotto riportati elaborati:</w:t>
      </w:r>
    </w:p>
    <w:p>
      <w:pPr>
        <w:pStyle w:val="Corpodeltesto21"/>
        <w:numPr>
          <w:ilvl w:val="0"/>
          <w:numId w:val="4"/>
        </w:numPr>
        <w:ind w:left="567" w:hanging="567"/>
        <w:rPr/>
      </w:pPr>
      <w:r>
        <w:rPr/>
        <w:t xml:space="preserve">accertare la correttezza e funzionalità del progetto esecutivo e far luogo alla esecuzione di tutti gli accertamenti e le prove atte a garantire la piena accettabilità e funzionalità dell’opera eseguita verificando altresì la rispondenza dell’eseguito alle prescrizioni di Legge ed alle normative vigenti e, infine, rilascio del certificato di collaudo; </w:t>
      </w:r>
    </w:p>
    <w:p>
      <w:pPr>
        <w:pStyle w:val="Corpodeltesto21"/>
        <w:numPr>
          <w:ilvl w:val="0"/>
          <w:numId w:val="4"/>
        </w:numPr>
        <w:ind w:left="567" w:hanging="567"/>
        <w:rPr/>
      </w:pPr>
      <w:r>
        <w:rPr/>
        <w:t>il collaudo in corso d’opera, sia per le opere dell’esecutore che quelle del Direttore dei Lavori</w:t>
      </w:r>
    </w:p>
    <w:p>
      <w:pPr>
        <w:pStyle w:val="Corpodeltesto21"/>
        <w:rPr/>
      </w:pPr>
      <w:r>
        <w:rPr/>
      </w:r>
    </w:p>
    <w:p>
      <w:pPr>
        <w:pStyle w:val="Corpodeltesto21"/>
        <w:rPr/>
      </w:pPr>
      <w:r>
        <w:rPr/>
        <w:t>Tutti gli elaborati prodotti, sia analitici (relazioni, calcoli, contabilità, ecc.) che tecnici (elaborati grafici, particolari, ecc.), dovranno essere prodotti dal Professionista all’Amministrazione Provinciale:</w:t>
      </w:r>
    </w:p>
    <w:p>
      <w:pPr>
        <w:pStyle w:val="Corpodeltesto21"/>
        <w:numPr>
          <w:ilvl w:val="0"/>
          <w:numId w:val="2"/>
        </w:numPr>
        <w:ind w:left="567" w:hanging="567"/>
        <w:rPr/>
      </w:pPr>
      <w:r>
        <w:rPr/>
        <w:t>in formato cartaceo (almeno una copia);</w:t>
      </w:r>
    </w:p>
    <w:p>
      <w:pPr>
        <w:pStyle w:val="Corpodeltesto21"/>
        <w:numPr>
          <w:ilvl w:val="0"/>
          <w:numId w:val="2"/>
        </w:numPr>
        <w:ind w:left="567" w:hanging="567"/>
        <w:rPr/>
      </w:pPr>
      <w:r>
        <w:rPr/>
        <w:t>in formato elettronico, sotto forma di documenti digitali, sia in versione editabile (formati comunemente utilizzati e leggibili/modificabili con software di settore comunemente impiegati (.dwg, .doc, .jpg, .xls, ecc.)) che in versione non editabile, in duplice formato, uno non firmato (.pdf/a) e, qualora ricorrano i presupposti, uno sottoscritto digitalmente (p7m o analogo).</w:t>
      </w:r>
    </w:p>
    <w:p>
      <w:pPr>
        <w:pStyle w:val="Corpodeltesto21"/>
        <w:rPr/>
      </w:pPr>
      <w:r>
        <w:rPr/>
      </w:r>
    </w:p>
    <w:p>
      <w:pPr>
        <w:pStyle w:val="Corpodeltesto21"/>
        <w:rPr/>
      </w:pPr>
      <w:r>
        <w:rPr>
          <w:lang w:eastAsia="it-IT"/>
        </w:rPr>
        <w:t xml:space="preserve">Tutti gli elaborati dovranno essere perfettamente leggibili e nelle scale opportune e contenere, qualora </w:t>
      </w:r>
      <w:r>
        <w:rPr>
          <w:rFonts w:eastAsia="Times New Roman"/>
          <w:lang w:eastAsia="it-IT"/>
        </w:rPr>
        <w:t>coperti economicamente da finanziamenti PNRR (si veda descrizione nell’oggetto) dovranno contenere i loghi PNRR.</w:t>
      </w:r>
    </w:p>
    <w:p>
      <w:pPr>
        <w:pStyle w:val="Corpodeltesto21"/>
        <w:rPr>
          <w:bCs/>
        </w:rPr>
      </w:pPr>
      <w:r>
        <w:rPr>
          <w:bCs/>
        </w:rPr>
      </w:r>
    </w:p>
    <w:p>
      <w:pPr>
        <w:pStyle w:val="Corpodeltesto21"/>
        <w:rPr/>
      </w:pPr>
      <w:r>
        <w:rPr/>
        <w:t>Qualora l’Amministrazione valutasse la necessità di disporre di ulteriori copie cartacee firmate in originale oltre al numero sopra indicato, si procederà al rimborso delle spese di riproduzione e di spedizione, previa presentazione di specifico preventivo ed apposita autorizzazione da parte dell’ente da formalizzare con il relativo impegno di spesa secondo le modalità di Legge e regolamentate dall’Amministrazione stessa.</w:t>
      </w:r>
    </w:p>
    <w:p>
      <w:pPr>
        <w:pStyle w:val="Corpodeltesto21"/>
        <w:rPr/>
      </w:pPr>
      <w:r>
        <w:rPr/>
      </w:r>
    </w:p>
    <w:p>
      <w:pPr>
        <w:pStyle w:val="Corpodeltesto21"/>
        <w:rPr>
          <w:rFonts w:eastAsia="Times New Roman"/>
          <w:lang w:eastAsia="it-IT"/>
        </w:rPr>
      </w:pPr>
      <w:r>
        <w:rPr>
          <w:rFonts w:eastAsia="Times New Roman"/>
          <w:lang w:eastAsia="it-IT"/>
        </w:rPr>
        <w:t>In ogni caso, il professionista incaricato dovrà rigorosamente attenersi alle disposizioni impartite dal Responsabile Unico del Procedimento individuato per l’appalto in oggetto (</w:t>
      </w:r>
      <w:r>
        <w:rPr>
          <w:color w:val="000000"/>
          <w:spacing w:val="10"/>
          <w:kern w:val="2"/>
          <w:shd w:fill="FFFFFF" w:val="clear"/>
        </w:rPr>
        <w:t>Ing. Paola Cassinelli</w:t>
      </w:r>
      <w:r>
        <w:rPr>
          <w:rFonts w:eastAsia="Times New Roman"/>
          <w:lang w:eastAsia="it-IT"/>
        </w:rPr>
        <w:t>).</w:t>
      </w:r>
    </w:p>
    <w:p>
      <w:pPr>
        <w:pStyle w:val="Corpodeltesto21"/>
        <w:rPr/>
      </w:pPr>
      <w:r>
        <w:rPr/>
      </w:r>
    </w:p>
    <w:p>
      <w:pPr>
        <w:pStyle w:val="Corpodeltesto21"/>
        <w:rPr/>
      </w:pPr>
      <w:r>
        <w:rPr/>
        <w:t>Per consentire la corretta esecuzione dell’incarico il tecnico si impegna ad effettuare con L’Amministrazione incontri periodici di monitoraggio dell’andamento delle attività. In tali occasioni le parti potranno concordare le eventuali modifiche al programma delle attività che si ritenessero necessarie a seguito dei risultati fino a quel momento ottenuti.</w:t>
      </w:r>
    </w:p>
    <w:p>
      <w:pPr>
        <w:pStyle w:val="Corpodeltesto21"/>
        <w:rPr/>
      </w:pPr>
      <w:r>
        <w:rPr/>
      </w:r>
    </w:p>
    <w:p>
      <w:pPr>
        <w:pStyle w:val="Corpodeltesto21"/>
        <w:rPr/>
      </w:pPr>
      <w:r>
        <w:rPr/>
        <w:t>Inoltre il tecnico nel corso dell’incarico dovrà rapportarsi con gli enti interessati dal progetto in oggetto, oltre a presenziare agli incontri organizzati dall’amministrazione.</w:t>
      </w:r>
    </w:p>
    <w:p>
      <w:pPr>
        <w:pStyle w:val="Corpodeltesto21"/>
        <w:rPr/>
      </w:pPr>
      <w:r>
        <w:rPr/>
      </w:r>
    </w:p>
    <w:p>
      <w:pPr>
        <w:pStyle w:val="Corpodeltesto21"/>
        <w:rPr/>
      </w:pPr>
      <w:r>
        <w:rPr/>
        <w:t>Il Tecnico avrà accesso ai documenti d’archivio, se reperibili, relativi all’oggetto, potendo acquisire copia degli atti tecnici utili ai fini della verifica.</w:t>
      </w:r>
    </w:p>
    <w:p>
      <w:pPr>
        <w:pStyle w:val="Corpodeltesto21"/>
        <w:rPr/>
      </w:pPr>
      <w:r>
        <w:rPr/>
      </w:r>
    </w:p>
    <w:p>
      <w:pPr>
        <w:pStyle w:val="Corpodeltesto21"/>
        <w:rPr/>
      </w:pPr>
      <w:r>
        <w:rPr/>
        <w:t>L’Amministrazione fornirà al Tecnico ogni necessaria assistenza di natura logistica ed organizzativa per l’esecuzione dei saggi e delle indagini sui materiali costituenti le strutture e sul terreno di fondazione, nelle localizzazioni e modalità concordate tra il Tecnico e l’Amministrazione.</w:t>
      </w:r>
    </w:p>
    <w:p>
      <w:pPr>
        <w:pStyle w:val="Titolo1"/>
        <w:rPr/>
      </w:pPr>
      <w:r>
        <w:rPr/>
        <w:t>Articolo 2 – Tempi dell’incarico e penali</w:t>
      </w:r>
    </w:p>
    <w:p>
      <w:pPr>
        <w:pStyle w:val="Corpodeltesto21"/>
        <w:rPr/>
      </w:pPr>
      <w:r>
        <w:rPr/>
        <w:t>L’incarico di collaudatore avrà durata pari a quella dei lavori fino all’emissione del Collaudo da parte del collaudatore che dovrà essere emesso entro 60 giorni dal verbale di fine lavori redatto dal Direttore dei Lavori.</w:t>
      </w:r>
    </w:p>
    <w:p>
      <w:pPr>
        <w:pStyle w:val="Corpodeltesto21"/>
        <w:rPr/>
      </w:pPr>
      <w:r>
        <w:rPr/>
      </w:r>
    </w:p>
    <w:p>
      <w:pPr>
        <w:pStyle w:val="Corpodeltesto21"/>
        <w:rPr/>
      </w:pPr>
      <w:r>
        <w:rPr/>
        <w:t xml:space="preserve">In caso invece di ritardato adempimento imputabile al Professionista viene stabilita una penale in misura giornaliera </w:t>
      </w:r>
      <w:r>
        <w:rPr>
          <w:rFonts w:eastAsia="Times New Roman"/>
        </w:rPr>
        <w:t>pari all</w:t>
      </w:r>
      <w:r>
        <w:rPr/>
        <w:t xml:space="preserve">’1 per mille dell’ammontare netto contrattuale. Le penali non </w:t>
      </w:r>
      <w:r>
        <w:rPr>
          <w:rFonts w:eastAsia="Times New Roman"/>
        </w:rPr>
        <w:t>potranno</w:t>
      </w:r>
      <w:r>
        <w:rPr/>
        <w:t xml:space="preserve"> comunque superare, complessivamente, il 10% di detto ammontare netto contrattuale. Qualora l’importo delle penali </w:t>
      </w:r>
      <w:r>
        <w:rPr>
          <w:rFonts w:eastAsia="Times New Roman"/>
        </w:rPr>
        <w:t>dovesse superare</w:t>
      </w:r>
      <w:r>
        <w:rPr/>
        <w:t xml:space="preserve"> la suddetta soglia (10% d</w:t>
      </w:r>
      <w:r>
        <w:rPr>
          <w:rFonts w:eastAsia="Times New Roman"/>
        </w:rPr>
        <w:t>ell’</w:t>
      </w:r>
      <w:r>
        <w:rPr/>
        <w:t>ammontare netto contrattuale) e comunque in caso di ritardo oltre i 15 giorni dalla data prevista per la consegna, l’Amministrazione potrà procedere alla risoluzione del contratto e all’affidamento dell’incarico ad altro tecnico, iniziando contestualmente la procedura di rivalsa per danni subiti e senza rimborso alcuno delle eventuali spese sostenute dal tecnico.</w:t>
      </w:r>
    </w:p>
    <w:p>
      <w:pPr>
        <w:pStyle w:val="Titolo1"/>
        <w:rPr/>
      </w:pPr>
      <w:r>
        <w:rPr/>
        <w:t>Articolo 3 – Corrispettivo</w:t>
      </w:r>
    </w:p>
    <w:p>
      <w:pPr>
        <w:pStyle w:val="Corpodeltesto21"/>
        <w:rPr/>
      </w:pPr>
      <w:r>
        <w:rPr>
          <w:color w:val="000000"/>
          <w:shd w:fill="FFFFFF" w:val="clear"/>
        </w:rPr>
        <w:t>Il corrispettivo spettante al professionista per lo svolgimento dell’incarico, al netto del ribasso offerto in sede di procedura di affidamento, è pari ad € 2.600,00 (oneri e I.V.A. inclus</w:t>
      </w:r>
      <w:r>
        <w:rPr>
          <w:rFonts w:eastAsia="Times New Roman"/>
          <w:color w:val="000000"/>
          <w:shd w:fill="FFFFFF" w:val="clear"/>
        </w:rPr>
        <w:t>i</w:t>
      </w:r>
      <w:r>
        <w:rPr>
          <w:color w:val="000000"/>
          <w:shd w:fill="FFFFFF" w:val="clear"/>
        </w:rPr>
        <w:t>).</w:t>
      </w:r>
    </w:p>
    <w:p>
      <w:pPr>
        <w:pStyle w:val="Corpodeltesto21"/>
        <w:rPr/>
      </w:pPr>
      <w:r>
        <w:rPr/>
        <w:t>Tale importo è da considerarsi comprensivo delle spese ed è così suddiviso:</w:t>
      </w:r>
    </w:p>
    <w:p>
      <w:pPr>
        <w:pStyle w:val="Corpodeltesto21"/>
        <w:rPr/>
      </w:pPr>
      <w:r>
        <w:rPr/>
      </w:r>
    </w:p>
    <w:tbl>
      <w:tblPr>
        <w:tblW w:w="10373" w:type="dxa"/>
        <w:jc w:val="left"/>
        <w:tblInd w:w="-60" w:type="dxa"/>
        <w:tblCellMar>
          <w:top w:w="0" w:type="dxa"/>
          <w:left w:w="30" w:type="dxa"/>
          <w:bottom w:w="0" w:type="dxa"/>
          <w:right w:w="30" w:type="dxa"/>
        </w:tblCellMar>
        <w:tblLook w:firstRow="0" w:noVBand="0" w:lastRow="0" w:firstColumn="0" w:lastColumn="0" w:noHBand="0" w:val="0000"/>
      </w:tblPr>
      <w:tblGrid>
        <w:gridCol w:w="4822"/>
        <w:gridCol w:w="2666"/>
        <w:gridCol w:w="2885"/>
      </w:tblGrid>
      <w:tr>
        <w:trPr>
          <w:trHeight w:val="315" w:hRule="atLeast"/>
        </w:trPr>
        <w:tc>
          <w:tcPr>
            <w:tcW w:w="4822" w:type="dxa"/>
            <w:tcBorders/>
            <w:vAlign w:val="bottom"/>
          </w:tcPr>
          <w:p>
            <w:pPr>
              <w:pStyle w:val="Corpodeltesto21"/>
              <w:rPr/>
            </w:pPr>
            <w:r>
              <w:rPr/>
              <w:t>Compenso professionale</w:t>
            </w:r>
          </w:p>
        </w:tc>
        <w:tc>
          <w:tcPr>
            <w:tcW w:w="2666" w:type="dxa"/>
            <w:tcBorders/>
            <w:vAlign w:val="bottom"/>
          </w:tcPr>
          <w:p>
            <w:pPr>
              <w:pStyle w:val="Corpodeltesto21"/>
              <w:snapToGrid w:val="false"/>
              <w:jc w:val="right"/>
              <w:rPr/>
            </w:pPr>
            <w:r>
              <w:rPr/>
            </w:r>
          </w:p>
        </w:tc>
        <w:tc>
          <w:tcPr>
            <w:tcW w:w="2885" w:type="dxa"/>
            <w:tcBorders/>
            <w:vAlign w:val="bottom"/>
          </w:tcPr>
          <w:p>
            <w:pPr>
              <w:pStyle w:val="Corpodeltesto21"/>
              <w:jc w:val="right"/>
              <w:rPr/>
            </w:pPr>
            <w:r>
              <w:rPr>
                <w:rFonts w:eastAsia="Times New Roman"/>
                <w:color w:val="000000"/>
                <w:shd w:fill="FFFFFF" w:val="clear"/>
              </w:rPr>
              <w:t>2.500,00</w:t>
            </w:r>
          </w:p>
        </w:tc>
      </w:tr>
      <w:tr>
        <w:trPr>
          <w:trHeight w:val="315" w:hRule="atLeast"/>
        </w:trPr>
        <w:tc>
          <w:tcPr>
            <w:tcW w:w="4822" w:type="dxa"/>
            <w:tcBorders/>
            <w:vAlign w:val="bottom"/>
          </w:tcPr>
          <w:p>
            <w:pPr>
              <w:pStyle w:val="Corpodeltesto21"/>
              <w:rPr/>
            </w:pPr>
            <w:r>
              <w:rPr/>
              <w:t>Altre spese ed oneri accessori</w:t>
            </w:r>
          </w:p>
        </w:tc>
        <w:tc>
          <w:tcPr>
            <w:tcW w:w="2666" w:type="dxa"/>
            <w:tcBorders/>
            <w:vAlign w:val="bottom"/>
          </w:tcPr>
          <w:p>
            <w:pPr>
              <w:pStyle w:val="Corpodeltesto21"/>
              <w:snapToGrid w:val="false"/>
              <w:jc w:val="right"/>
              <w:rPr/>
            </w:pPr>
            <w:r>
              <w:rPr/>
            </w:r>
          </w:p>
        </w:tc>
        <w:tc>
          <w:tcPr>
            <w:tcW w:w="2885" w:type="dxa"/>
            <w:tcBorders/>
            <w:vAlign w:val="bottom"/>
          </w:tcPr>
          <w:p>
            <w:pPr>
              <w:pStyle w:val="Corpodeltesto21"/>
              <w:jc w:val="right"/>
              <w:rPr/>
            </w:pPr>
            <w:r>
              <w:rPr>
                <w:rFonts w:eastAsia="Times New Roman"/>
                <w:color w:val="000000"/>
                <w:shd w:fill="FFFFFF" w:val="clear"/>
              </w:rPr>
              <w:t>0,00</w:t>
            </w:r>
            <w:r>
              <w:rPr>
                <w:color w:val="000000"/>
                <w:shd w:fill="FFFFFF" w:val="clear"/>
              </w:rPr>
              <w:t xml:space="preserve"> </w:t>
            </w:r>
            <w:r>
              <w:rPr>
                <w:rFonts w:eastAsia="Times New Roman"/>
                <w:color w:val="000000"/>
                <w:shd w:fill="FFFFFF" w:val="clear"/>
              </w:rPr>
              <w:t>€</w:t>
            </w:r>
          </w:p>
        </w:tc>
      </w:tr>
      <w:tr>
        <w:trPr>
          <w:trHeight w:val="315" w:hRule="atLeast"/>
        </w:trPr>
        <w:tc>
          <w:tcPr>
            <w:tcW w:w="4822" w:type="dxa"/>
            <w:tcBorders/>
            <w:vAlign w:val="bottom"/>
          </w:tcPr>
          <w:p>
            <w:pPr>
              <w:pStyle w:val="Corpodeltesto21"/>
              <w:rPr/>
            </w:pPr>
            <w:r>
              <w:rPr/>
              <w:t>Cassa previdenziale</w:t>
            </w:r>
          </w:p>
        </w:tc>
        <w:tc>
          <w:tcPr>
            <w:tcW w:w="2666" w:type="dxa"/>
            <w:tcBorders/>
            <w:vAlign w:val="bottom"/>
          </w:tcPr>
          <w:p>
            <w:pPr>
              <w:pStyle w:val="Corpodeltesto21"/>
              <w:jc w:val="right"/>
              <w:rPr>
                <w:color w:val="000000"/>
                <w:spacing w:val="10"/>
                <w:kern w:val="2"/>
                <w:highlight w:val="white"/>
              </w:rPr>
            </w:pPr>
            <w:r>
              <w:rPr>
                <w:color w:val="000000"/>
                <w:spacing w:val="10"/>
                <w:kern w:val="2"/>
                <w:shd w:fill="FFFFFF" w:val="clear"/>
              </w:rPr>
            </w:r>
          </w:p>
        </w:tc>
        <w:tc>
          <w:tcPr>
            <w:tcW w:w="2885" w:type="dxa"/>
            <w:tcBorders/>
            <w:vAlign w:val="bottom"/>
          </w:tcPr>
          <w:p>
            <w:pPr>
              <w:pStyle w:val="Corpodeltesto21"/>
              <w:jc w:val="right"/>
              <w:rPr/>
            </w:pPr>
            <w:r>
              <w:rPr>
                <w:rFonts w:eastAsia="Times New Roman"/>
                <w:color w:val="000000"/>
                <w:shd w:fill="FFFFFF" w:val="clear"/>
              </w:rPr>
              <w:t>100,00</w:t>
            </w:r>
            <w:r>
              <w:rPr>
                <w:color w:val="000000"/>
                <w:shd w:fill="FFFFFF" w:val="clear"/>
              </w:rPr>
              <w:t xml:space="preserve"> </w:t>
            </w:r>
            <w:r>
              <w:rPr>
                <w:rFonts w:eastAsia="Times New Roman"/>
                <w:color w:val="000000"/>
                <w:shd w:fill="FFFFFF" w:val="clear"/>
              </w:rPr>
              <w:t>€</w:t>
            </w:r>
          </w:p>
        </w:tc>
      </w:tr>
      <w:tr>
        <w:trPr>
          <w:trHeight w:val="315" w:hRule="atLeast"/>
        </w:trPr>
        <w:tc>
          <w:tcPr>
            <w:tcW w:w="4822" w:type="dxa"/>
            <w:tcBorders>
              <w:top w:val="single" w:sz="2" w:space="0" w:color="000000"/>
            </w:tcBorders>
            <w:tcMar>
              <w:left w:w="28" w:type="dxa"/>
              <w:right w:w="28" w:type="dxa"/>
            </w:tcMar>
            <w:vAlign w:val="bottom"/>
          </w:tcPr>
          <w:p>
            <w:pPr>
              <w:pStyle w:val="Corpodeltesto21"/>
              <w:rPr/>
            </w:pPr>
            <w:r>
              <w:rPr/>
              <w:t>Imponibile IVA</w:t>
            </w:r>
          </w:p>
        </w:tc>
        <w:tc>
          <w:tcPr>
            <w:tcW w:w="2666" w:type="dxa"/>
            <w:tcBorders>
              <w:top w:val="single" w:sz="2" w:space="0" w:color="000000"/>
            </w:tcBorders>
            <w:tcMar>
              <w:left w:w="28" w:type="dxa"/>
              <w:right w:w="28" w:type="dxa"/>
            </w:tcMar>
            <w:vAlign w:val="bottom"/>
          </w:tcPr>
          <w:p>
            <w:pPr>
              <w:pStyle w:val="Corpodeltesto21"/>
              <w:snapToGrid w:val="false"/>
              <w:jc w:val="right"/>
              <w:rPr/>
            </w:pPr>
            <w:r>
              <w:rPr/>
            </w:r>
          </w:p>
        </w:tc>
        <w:tc>
          <w:tcPr>
            <w:tcW w:w="2885" w:type="dxa"/>
            <w:tcBorders>
              <w:top w:val="single" w:sz="2" w:space="0" w:color="000000"/>
            </w:tcBorders>
            <w:tcMar>
              <w:left w:w="28" w:type="dxa"/>
              <w:right w:w="28" w:type="dxa"/>
            </w:tcMar>
            <w:vAlign w:val="bottom"/>
          </w:tcPr>
          <w:p>
            <w:pPr>
              <w:pStyle w:val="Corpodeltesto21"/>
              <w:jc w:val="right"/>
              <w:rPr/>
            </w:pPr>
            <w:r>
              <w:rPr>
                <w:rFonts w:eastAsia="Times New Roman"/>
                <w:color w:val="000000"/>
                <w:shd w:fill="FFFFFF" w:val="clear"/>
              </w:rPr>
              <w:t>2.600,00</w:t>
            </w:r>
            <w:r>
              <w:rPr>
                <w:color w:val="000000"/>
                <w:shd w:fill="FFFFFF" w:val="clear"/>
              </w:rPr>
              <w:t xml:space="preserve"> </w:t>
            </w:r>
            <w:r>
              <w:rPr>
                <w:rFonts w:eastAsia="Times New Roman"/>
                <w:color w:val="000000"/>
                <w:shd w:fill="FFFFFF" w:val="clear"/>
              </w:rPr>
              <w:t>€</w:t>
            </w:r>
          </w:p>
        </w:tc>
      </w:tr>
      <w:tr>
        <w:trPr>
          <w:trHeight w:val="315" w:hRule="atLeast"/>
        </w:trPr>
        <w:tc>
          <w:tcPr>
            <w:tcW w:w="4822" w:type="dxa"/>
            <w:tcBorders/>
            <w:vAlign w:val="bottom"/>
          </w:tcPr>
          <w:p>
            <w:pPr>
              <w:pStyle w:val="Corpodeltesto21"/>
              <w:rPr/>
            </w:pPr>
            <w:r>
              <w:rPr/>
              <w:t>IVA</w:t>
            </w:r>
          </w:p>
        </w:tc>
        <w:tc>
          <w:tcPr>
            <w:tcW w:w="2666" w:type="dxa"/>
            <w:tcBorders/>
            <w:vAlign w:val="bottom"/>
          </w:tcPr>
          <w:p>
            <w:pPr>
              <w:pStyle w:val="Corpodeltesto21"/>
              <w:jc w:val="right"/>
              <w:rPr>
                <w:color w:val="000000"/>
                <w:spacing w:val="10"/>
                <w:kern w:val="2"/>
                <w:highlight w:val="white"/>
              </w:rPr>
            </w:pPr>
            <w:r>
              <w:rPr>
                <w:color w:val="000000"/>
                <w:spacing w:val="10"/>
                <w:kern w:val="2"/>
                <w:shd w:fill="FFFFFF" w:val="clear"/>
              </w:rPr>
            </w:r>
          </w:p>
        </w:tc>
        <w:tc>
          <w:tcPr>
            <w:tcW w:w="2885" w:type="dxa"/>
            <w:tcBorders/>
            <w:vAlign w:val="bottom"/>
          </w:tcPr>
          <w:p>
            <w:pPr>
              <w:pStyle w:val="Corpodeltesto21"/>
              <w:jc w:val="right"/>
              <w:rPr/>
            </w:pPr>
            <w:r>
              <w:rPr>
                <w:rFonts w:eastAsia="Times New Roman"/>
                <w:color w:val="000000"/>
                <w:shd w:fill="FFFFFF" w:val="clear"/>
              </w:rPr>
              <w:t>0,00</w:t>
            </w:r>
            <w:r>
              <w:rPr>
                <w:color w:val="000000"/>
                <w:shd w:fill="FFFFFF" w:val="clear"/>
              </w:rPr>
              <w:t xml:space="preserve"> </w:t>
            </w:r>
            <w:r>
              <w:rPr>
                <w:rFonts w:eastAsia="Times New Roman"/>
                <w:color w:val="000000"/>
                <w:shd w:fill="FFFFFF" w:val="clear"/>
              </w:rPr>
              <w:t>€</w:t>
            </w:r>
          </w:p>
        </w:tc>
      </w:tr>
      <w:tr>
        <w:trPr>
          <w:trHeight w:val="315" w:hRule="atLeast"/>
        </w:trPr>
        <w:tc>
          <w:tcPr>
            <w:tcW w:w="4822" w:type="dxa"/>
            <w:tcBorders>
              <w:top w:val="single" w:sz="2" w:space="0" w:color="000000"/>
            </w:tcBorders>
            <w:tcMar>
              <w:left w:w="28" w:type="dxa"/>
              <w:right w:w="28" w:type="dxa"/>
            </w:tcMar>
            <w:vAlign w:val="bottom"/>
          </w:tcPr>
          <w:p>
            <w:pPr>
              <w:pStyle w:val="Corpodeltesto21"/>
              <w:rPr/>
            </w:pPr>
            <w:r>
              <w:rPr/>
              <w:t>Totale</w:t>
            </w:r>
          </w:p>
        </w:tc>
        <w:tc>
          <w:tcPr>
            <w:tcW w:w="2666" w:type="dxa"/>
            <w:tcBorders>
              <w:top w:val="single" w:sz="2" w:space="0" w:color="000000"/>
            </w:tcBorders>
            <w:tcMar>
              <w:left w:w="28" w:type="dxa"/>
              <w:right w:w="28" w:type="dxa"/>
            </w:tcMar>
            <w:vAlign w:val="bottom"/>
          </w:tcPr>
          <w:p>
            <w:pPr>
              <w:pStyle w:val="Corpodeltesto21"/>
              <w:snapToGrid w:val="false"/>
              <w:jc w:val="right"/>
              <w:rPr/>
            </w:pPr>
            <w:r>
              <w:rPr/>
            </w:r>
          </w:p>
        </w:tc>
        <w:tc>
          <w:tcPr>
            <w:tcW w:w="2885" w:type="dxa"/>
            <w:tcBorders>
              <w:top w:val="single" w:sz="2" w:space="0" w:color="000000"/>
            </w:tcBorders>
            <w:tcMar>
              <w:left w:w="28" w:type="dxa"/>
              <w:right w:w="28" w:type="dxa"/>
            </w:tcMar>
            <w:vAlign w:val="bottom"/>
          </w:tcPr>
          <w:p>
            <w:pPr>
              <w:pStyle w:val="Corpodeltesto21"/>
              <w:jc w:val="right"/>
              <w:rPr/>
            </w:pPr>
            <w:r>
              <w:rPr>
                <w:color w:val="000000"/>
                <w:shd w:fill="FFFFFF" w:val="clear"/>
              </w:rPr>
              <w:t>2.600,00</w:t>
            </w:r>
            <w:r>
              <w:rPr>
                <w:b/>
                <w:bCs/>
                <w:color w:val="000000"/>
                <w:spacing w:val="10"/>
                <w:kern w:val="2"/>
                <w:shd w:fill="FFFFFF" w:val="clear"/>
              </w:rPr>
              <w:t xml:space="preserve"> </w:t>
            </w:r>
            <w:r>
              <w:rPr>
                <w:rFonts w:eastAsia="Times New Roman"/>
                <w:b/>
                <w:color w:val="000000"/>
                <w:shd w:fill="FFFFFF" w:val="clear"/>
              </w:rPr>
              <w:t>€</w:t>
            </w:r>
          </w:p>
        </w:tc>
      </w:tr>
    </w:tbl>
    <w:p>
      <w:pPr>
        <w:pStyle w:val="Titolo1"/>
        <w:rPr/>
      </w:pPr>
      <w:r>
        <w:rPr/>
        <w:t>Articolo 4 – Pagamenti</w:t>
      </w:r>
    </w:p>
    <w:p>
      <w:pPr>
        <w:pStyle w:val="Corpodeltesto21"/>
        <w:rPr/>
      </w:pPr>
      <w:r>
        <w:rPr/>
        <w:t>L’importo di cui al precedente articolo 3) verrà corrisposto, dietro presentazione di regolare fattura elettronica intestata a Provincia di Parma – V.le Martiri della Libertà, 15 – 43123 Parma (C.F. 80015230347 - codice IPA: UF930G), una volta eseguite le prestazioni ed accertata la regolarità delle stesse da parte del Responsabile del Procedimento.</w:t>
      </w:r>
    </w:p>
    <w:p>
      <w:pPr>
        <w:pStyle w:val="Corpodeltesto21"/>
        <w:rPr/>
      </w:pPr>
      <w:r>
        <w:rPr/>
        <w:t>I pagamenti verranno corrisposti in un’unica soluzione all’approvazione del Certificato di Regolare Esecuzione/collaudo dell’opera</w:t>
      </w:r>
    </w:p>
    <w:p>
      <w:pPr>
        <w:pStyle w:val="Corpodeltesto21"/>
        <w:rPr/>
      </w:pPr>
      <w:r>
        <w:rPr/>
      </w:r>
    </w:p>
    <w:p>
      <w:pPr>
        <w:pStyle w:val="Corpodeltesto21"/>
        <w:rPr>
          <w:highlight w:val="white"/>
        </w:rPr>
      </w:pPr>
      <w:r>
        <w:rPr>
          <w:shd w:fill="FFFFFF" w:val="clear"/>
        </w:rPr>
        <w:t xml:space="preserve">La fattura dovrà riportare il numero dell’atto di affidamento, il codice CIG e il codice CUP </w:t>
      </w:r>
      <w:r>
        <w:rPr>
          <w:rFonts w:eastAsia="Times New Roman"/>
          <w:shd w:fill="FFFFFF" w:val="clear"/>
        </w:rPr>
        <w:t xml:space="preserve">collegati </w:t>
      </w:r>
      <w:r>
        <w:rPr>
          <w:shd w:fill="FFFFFF" w:val="clear"/>
        </w:rPr>
        <w:t>al presente incarico.</w:t>
      </w:r>
    </w:p>
    <w:p>
      <w:pPr>
        <w:pStyle w:val="Corpodeltesto21"/>
        <w:rPr/>
      </w:pPr>
      <w:r>
        <w:rPr/>
      </w:r>
    </w:p>
    <w:p>
      <w:pPr>
        <w:pStyle w:val="Corpodeltesto21"/>
        <w:rPr/>
      </w:pPr>
      <w:r>
        <w:rPr/>
        <w:t xml:space="preserve">La liquidazione delle fatture </w:t>
      </w:r>
      <w:r>
        <w:rPr>
          <w:rFonts w:eastAsia="Times New Roman"/>
        </w:rPr>
        <w:t xml:space="preserve">rimane </w:t>
      </w:r>
      <w:r>
        <w:rPr/>
        <w:t>subordinata all’acquisizione, con esito regolare, dei documenti (DURC) attestanti la regolarità contributiva.</w:t>
      </w:r>
    </w:p>
    <w:p>
      <w:pPr>
        <w:pStyle w:val="Titolo1"/>
        <w:rPr/>
      </w:pPr>
      <w:r>
        <w:rPr/>
        <w:t>Articolo 5 - Tracciabilità dei flussi finanziari</w:t>
      </w:r>
    </w:p>
    <w:p>
      <w:pPr>
        <w:pStyle w:val="Corpodeltesto21"/>
        <w:rPr/>
      </w:pPr>
      <w:r>
        <w:rPr/>
        <w:t>I pagamenti effettuati in dipendenza del presente contratto sono effettuati mediante accredito su apposito conto corrente bancario ai sensi dell’art. 3 della Legge 13.08.2010, n. 136. Il professionista incaricato deve comunicare a questo ente gli estremi identificativi del conto corrente di cui al precedente comma, nonché le generalità ed il codice fiscale delle persone delegate ad operare su di esso. È fatto obbligo al professionista, pena la nullità del presente contratto, di osservare, in tutte le operazioni ad esso riferite, le norme sulla tracciabilità dei flussi finanziari di cui all’art. 3 della citata legge n. 136/2010. La clausola risolutiva di cui al comma precedente sarà avviata in tutti i casi in cui le transazioni non siano eseguite sul conto dedicato.</w:t>
      </w:r>
    </w:p>
    <w:p>
      <w:pPr>
        <w:pStyle w:val="Titolo1"/>
        <w:rPr/>
      </w:pPr>
      <w:r>
        <w:rPr/>
        <w:t>Articolo 6 - Controversie</w:t>
      </w:r>
    </w:p>
    <w:p>
      <w:pPr>
        <w:pStyle w:val="Corpodeltesto21"/>
        <w:rPr/>
      </w:pPr>
      <w:r>
        <w:rPr/>
        <w:t>L’Amministrazione si intende sollevata da ogni onere sociale e/o previdenziale, nonché da responsabilità per infortuni e/o danni che vengano arrecati al tecnico o a terzi nel corso e per l’espletamento dell’incarico professionale.</w:t>
      </w:r>
    </w:p>
    <w:p>
      <w:pPr>
        <w:pStyle w:val="Corpodeltesto21"/>
        <w:rPr/>
      </w:pPr>
      <w:r>
        <w:rPr/>
      </w:r>
      <w:bookmarkStart w:id="0" w:name="_GoBack"/>
      <w:bookmarkStart w:id="1" w:name="_GoBack"/>
      <w:bookmarkEnd w:id="1"/>
    </w:p>
    <w:p>
      <w:pPr>
        <w:pStyle w:val="Corpodeltesto21"/>
        <w:rPr/>
      </w:pPr>
      <w:r>
        <w:rPr/>
        <w:t>Per quanto concerne la prestazione affidatogli, il tecnico è tenuto ad eleggere domicilio in Parma. Per tutte le controversie che potessero insorgere per qualsiasi motivazione, nessuna esclusa, si farà riferimento ad un collegio arbitrale, costituito da tre membri dei quali uno scelto dall’Amministrazione, uno dal Consulente ed il terzo da designarsi da parte dei due precedenti o, in alternativa, dal Presidente del tribunale di Parma. Il collegio arbitrale giudicherà secondo le regole del diritto.</w:t>
      </w:r>
    </w:p>
    <w:p>
      <w:pPr>
        <w:pStyle w:val="Titolo1"/>
        <w:rPr/>
      </w:pPr>
      <w:r>
        <w:rPr/>
        <w:t>Articolo 7 - Contratto</w:t>
      </w:r>
    </w:p>
    <w:p>
      <w:pPr>
        <w:pStyle w:val="Corpodeltesto21"/>
        <w:rPr/>
      </w:pPr>
      <w:r>
        <w:rPr/>
        <w:t>Il presente disciplinare d’incarico, redatto in forma di scrittura privata, è da ritornare all’Amministrazione e sarà registrata in caso d’uso, ai sensi di legge, a cura ed a spese della parte richiedente.</w:t>
      </w:r>
    </w:p>
    <w:p>
      <w:pPr>
        <w:pStyle w:val="Titolo1"/>
        <w:rPr/>
      </w:pPr>
      <w:r>
        <w:rPr/>
        <w:t>Articolo 8 – Trattamento dei dati personali</w:t>
      </w:r>
    </w:p>
    <w:p>
      <w:pPr>
        <w:pStyle w:val="Corpodeltesto21"/>
        <w:rPr/>
      </w:pPr>
      <w:r>
        <w:rPr/>
        <w:t>Designa</w:t>
      </w:r>
      <w:r>
        <w:rPr>
          <w:rFonts w:eastAsia="Times New Roman"/>
        </w:rPr>
        <w:t>to</w:t>
      </w:r>
      <w:r>
        <w:rPr/>
        <w:t xml:space="preserve"> quale sub-responsabile del trattamento dei dati personali ai sensi</w:t>
      </w:r>
      <w:r>
        <w:rPr>
          <w:spacing w:val="-27"/>
        </w:rPr>
        <w:t xml:space="preserve"> </w:t>
      </w:r>
      <w:r>
        <w:rPr/>
        <w:t>del Regolamento U.E.</w:t>
      </w:r>
      <w:r>
        <w:rPr>
          <w:spacing w:val="-38"/>
        </w:rPr>
        <w:t xml:space="preserve"> </w:t>
      </w:r>
      <w:r>
        <w:rPr/>
        <w:t>679/2016 è l’ing. Paola Cassinelli.</w:t>
      </w:r>
    </w:p>
    <w:p>
      <w:pPr>
        <w:pStyle w:val="Corpodeltesto21"/>
        <w:rPr/>
      </w:pPr>
      <w:r>
        <w:rPr/>
        <w:t>In esecuzione del</w:t>
      </w:r>
      <w:r>
        <w:rPr>
          <w:spacing w:val="-25"/>
        </w:rPr>
        <w:t xml:space="preserve"> </w:t>
      </w:r>
      <w:r>
        <w:rPr/>
        <w:t>presente</w:t>
      </w:r>
      <w:r>
        <w:rPr>
          <w:spacing w:val="-26"/>
        </w:rPr>
        <w:t xml:space="preserve"> </w:t>
      </w:r>
      <w:r>
        <w:rPr/>
        <w:t>contratto, il tecnico effettua il trattamento</w:t>
      </w:r>
      <w:r>
        <w:rPr>
          <w:spacing w:val="-25"/>
        </w:rPr>
        <w:t xml:space="preserve"> </w:t>
      </w:r>
      <w:r>
        <w:rPr/>
        <w:t>di</w:t>
      </w:r>
      <w:r>
        <w:rPr>
          <w:spacing w:val="-26"/>
        </w:rPr>
        <w:t xml:space="preserve"> </w:t>
      </w:r>
      <w:r>
        <w:rPr/>
        <w:t>dati</w:t>
      </w:r>
      <w:r>
        <w:rPr>
          <w:spacing w:val="-26"/>
        </w:rPr>
        <w:t xml:space="preserve"> </w:t>
      </w:r>
      <w:r>
        <w:rPr/>
        <w:t>personali di titolarità</w:t>
      </w:r>
      <w:r>
        <w:rPr>
          <w:spacing w:val="-35"/>
        </w:rPr>
        <w:t xml:space="preserve"> </w:t>
      </w:r>
      <w:r>
        <w:rPr/>
        <w:t>dell’Ente.</w:t>
      </w:r>
    </w:p>
    <w:p>
      <w:pPr>
        <w:pStyle w:val="Corpodeltesto21"/>
        <w:rPr/>
      </w:pPr>
      <w:r>
        <w:rPr/>
        <w:t>Il tecnico è designato dalla Provincia di Parma quale sub Responsabile del trattamento dei dati personali</w:t>
      </w:r>
      <w:r>
        <w:rPr>
          <w:color w:val="000000"/>
          <w:shd w:fill="FFFFFF" w:val="clear"/>
        </w:rPr>
        <w:t xml:space="preserve"> ai sensi e per gli effetti dell’art. 28 del Regolamento U.E. 679/2016, per il trattamento dei dati in oggetto.</w:t>
      </w:r>
    </w:p>
    <w:p>
      <w:pPr>
        <w:pStyle w:val="Corpodeltesto21"/>
        <w:rPr/>
      </w:pPr>
      <w:r>
        <w:rPr/>
      </w:r>
    </w:p>
    <w:p>
      <w:pPr>
        <w:pStyle w:val="Corpodeltesto21"/>
        <w:rPr/>
      </w:pPr>
      <w:r>
        <w:rPr>
          <w:shd w:fill="FFFFFF" w:val="clear"/>
        </w:rPr>
        <w:t>Le Parti riconoscono e convengono che il rispetto delle istruzioni nonché alle prescrizioni della normativa applicabile, non producono l’insorgere di un diritto in capo al sub Responsabile del trattamento al rimborso delle eventuali spese che lo stesso potrebbe dover sostene</w:t>
      </w:r>
      <w:r>
        <w:rPr/>
        <w:t>re per conformarsi.</w:t>
      </w:r>
    </w:p>
    <w:p>
      <w:pPr>
        <w:pStyle w:val="Titolo1"/>
        <w:rPr/>
      </w:pPr>
      <w:r>
        <w:rPr/>
        <w:t>Articolo 9 – Aspetti generali</w:t>
      </w:r>
    </w:p>
    <w:p>
      <w:pPr>
        <w:pStyle w:val="Corpodeltesto21"/>
        <w:rPr/>
      </w:pPr>
      <w:r>
        <w:rPr/>
        <w:t>Il tecnico ha l’obbligo di mantenere riservati i dati e le informazioni, ivi comprese quelle che transitano per le apparecchiature di elaborazione dati, di cui venga in possesso e comunque a conoscenza, anche tramite l'esecuzione del contratto, di non divulgarli in alcun modo e in qualsiasi forma, di non farne oggetto di utilizzazione a qualsiasi titolo per scopi diversi da quelli strettamente necessari all’esecuzione del Contratto e di non farne oggetto di comunicazione o trasmissione senza l'espressa autorizzazione dell'Amministrazione.</w:t>
      </w:r>
    </w:p>
    <w:p>
      <w:pPr>
        <w:pStyle w:val="Corpodeltesto21"/>
        <w:numPr>
          <w:ilvl w:val="0"/>
          <w:numId w:val="3"/>
        </w:numPr>
        <w:ind w:left="0" w:hanging="0"/>
        <w:rPr/>
      </w:pPr>
      <w:r>
        <w:rPr/>
        <w:t>L’obbligo di cui al precedente comma sussiste, altresì, relativamente a tutto il materiale originario o predisposto in esecuzione del Contratto. L’obbligo di cui ai precedenti paragrafi non concerne i dati che siano o divengano di pubblico dominio.</w:t>
      </w:r>
    </w:p>
    <w:p>
      <w:pPr>
        <w:pStyle w:val="Corpodeltesto21"/>
        <w:rPr/>
      </w:pPr>
      <w:r>
        <w:rPr/>
      </w:r>
    </w:p>
    <w:p>
      <w:pPr>
        <w:pStyle w:val="Corpodeltesto21"/>
        <w:numPr>
          <w:ilvl w:val="0"/>
          <w:numId w:val="6"/>
        </w:numPr>
        <w:ind w:left="0" w:hanging="0"/>
        <w:rPr/>
      </w:pPr>
      <w:r>
        <w:rPr/>
        <w:t>Il tecnico è Sub responsabile per l’esatta osservanza da parte dei propri dipendenti, consulenti e collaboratori, nonché di subappaltatori e dei dipendenti, consulenti e collaboratori di questi ultimi, degli obblighi di segretezza di cui ai precedenti paragrafi e risponde nei confronti della Provincia di Parma per eventuali violazioni dell’obbligo di riservatezza commesse dai suddetti soggetti.</w:t>
      </w:r>
    </w:p>
    <w:p>
      <w:pPr>
        <w:pStyle w:val="Corpodeltesto21"/>
        <w:rPr/>
      </w:pPr>
      <w:r>
        <w:rPr/>
      </w:r>
    </w:p>
    <w:p>
      <w:pPr>
        <w:pStyle w:val="Corpodeltesto21"/>
        <w:numPr>
          <w:ilvl w:val="0"/>
          <w:numId w:val="6"/>
        </w:numPr>
        <w:ind w:left="0" w:hanging="0"/>
        <w:rPr/>
      </w:pPr>
      <w:r>
        <w:rPr/>
        <w:t>Il tecnico può utilizzare servizi di cloud pubblici ove memorizzare i dati e le informazioni trattate nell'espletamento del lavoro affidato, solo previa autorizzazione dell’Ente.</w:t>
      </w:r>
    </w:p>
    <w:p>
      <w:pPr>
        <w:pStyle w:val="Corpodeltesto21"/>
        <w:rPr/>
      </w:pPr>
      <w:r>
        <w:rPr/>
      </w:r>
    </w:p>
    <w:p>
      <w:pPr>
        <w:pStyle w:val="Corpodeltesto21"/>
        <w:numPr>
          <w:ilvl w:val="0"/>
          <w:numId w:val="6"/>
        </w:numPr>
        <w:ind w:left="0" w:hanging="0"/>
        <w:rPr/>
      </w:pPr>
      <w:r>
        <w:rPr/>
        <w:t>In caso di inosservanza degli obblighi descritti, l’Amministrazione ha facoltà di dichiarare risolto di diritto il Contratto, fermo restando che il Fornitore di lavori sarà tenuto a risarcire tutti i danni che ne dovessero derivare.</w:t>
      </w:r>
    </w:p>
    <w:p>
      <w:pPr>
        <w:pStyle w:val="Corpodeltesto21"/>
        <w:rPr/>
      </w:pPr>
      <w:r>
        <w:rPr/>
      </w:r>
    </w:p>
    <w:p>
      <w:pPr>
        <w:pStyle w:val="Corpodeltesto21"/>
        <w:numPr>
          <w:ilvl w:val="0"/>
          <w:numId w:val="6"/>
        </w:numPr>
        <w:ind w:left="0" w:hanging="0"/>
        <w:rPr/>
      </w:pPr>
      <w:r>
        <w:rPr/>
        <w:t>Il tecnico potrà citare i termini essenziali del Contratto nei casi in cui fosse condizione necessaria per la partecipazione del Fornitore di lavori stesso a gare e appalti, previa comunicazione all’ Amministrazione delle modalità e dei contenuti di detta citazione.</w:t>
      </w:r>
    </w:p>
    <w:p>
      <w:pPr>
        <w:pStyle w:val="Corpodeltesto21"/>
        <w:numPr>
          <w:ilvl w:val="0"/>
          <w:numId w:val="6"/>
        </w:numPr>
        <w:ind w:left="0" w:hanging="0"/>
        <w:rPr/>
      </w:pPr>
      <w:r>
        <w:rPr/>
        <w:t>Sarà possibile ogni operazione di auditing da parte della Amministrazione attinente alle procedure adottate dal Contraente in materia di riservatezza e degli altri obblighi assunti dal presente contratto.</w:t>
      </w:r>
    </w:p>
    <w:p>
      <w:pPr>
        <w:pStyle w:val="Corpodeltesto21"/>
        <w:rPr/>
      </w:pPr>
      <w:r>
        <w:rPr/>
      </w:r>
    </w:p>
    <w:p>
      <w:pPr>
        <w:pStyle w:val="Corpodeltesto21"/>
        <w:numPr>
          <w:ilvl w:val="0"/>
          <w:numId w:val="6"/>
        </w:numPr>
        <w:ind w:left="0" w:hanging="0"/>
        <w:rPr/>
      </w:pPr>
      <w:r>
        <w:rPr/>
        <w:t>Il tecnico non potrà conservare copia di dati e programmi della Amministrazione, né alcuna documentazione inerente ad essi dopo la scadenza del Contratto e dovrà, su richiesta, ritrasmetterli all'Amministrazione.</w:t>
      </w:r>
    </w:p>
    <w:p>
      <w:pPr>
        <w:pStyle w:val="Corpodeltesto21"/>
        <w:numPr>
          <w:ilvl w:val="0"/>
          <w:numId w:val="6"/>
        </w:numPr>
        <w:ind w:left="0" w:hanging="0"/>
        <w:rPr/>
      </w:pPr>
      <w:r>
        <w:rPr/>
      </w:r>
    </w:p>
    <w:p>
      <w:pPr>
        <w:pStyle w:val="Corpodeltesto21"/>
        <w:rPr/>
      </w:pPr>
      <w:r>
        <w:rPr/>
      </w:r>
    </w:p>
    <w:p>
      <w:pPr>
        <w:pStyle w:val="Corpodeltesto21"/>
        <w:numPr>
          <w:ilvl w:val="0"/>
          <w:numId w:val="6"/>
        </w:numPr>
        <w:rPr/>
      </w:pPr>
      <w:r>
        <w:rPr/>
      </w:r>
    </w:p>
    <w:tbl>
      <w:tblPr>
        <w:tblW w:w="10268" w:type="dxa"/>
        <w:jc w:val="left"/>
        <w:tblInd w:w="38" w:type="dxa"/>
        <w:tblCellMar>
          <w:top w:w="0" w:type="dxa"/>
          <w:left w:w="108" w:type="dxa"/>
          <w:bottom w:w="0" w:type="dxa"/>
          <w:right w:w="108" w:type="dxa"/>
        </w:tblCellMar>
        <w:tblLook w:firstRow="0" w:noVBand="0" w:lastRow="0" w:firstColumn="0" w:lastColumn="0" w:noHBand="0" w:val="0000"/>
      </w:tblPr>
      <w:tblGrid>
        <w:gridCol w:w="5208"/>
        <w:gridCol w:w="5059"/>
      </w:tblGrid>
      <w:tr>
        <w:trPr/>
        <w:tc>
          <w:tcPr>
            <w:tcW w:w="5208" w:type="dxa"/>
            <w:tcBorders/>
          </w:tcPr>
          <w:p>
            <w:pPr>
              <w:pStyle w:val="Standard"/>
              <w:jc w:val="center"/>
              <w:rPr>
                <w:rFonts w:ascii="Verdana" w:hAnsi="Verdana" w:cs="Verdana"/>
              </w:rPr>
            </w:pPr>
            <w:r>
              <w:rPr>
                <w:rFonts w:cs="Verdana" w:ascii="Verdana" w:hAnsi="Verdana"/>
              </w:rPr>
              <w:t>P/La PROVINCIA DI PARMA</w:t>
            </w:r>
          </w:p>
          <w:p>
            <w:pPr>
              <w:pStyle w:val="Standard"/>
              <w:jc w:val="center"/>
              <w:rPr>
                <w:rFonts w:ascii="Verdana" w:hAnsi="Verdana" w:cs="Verdana"/>
              </w:rPr>
            </w:pPr>
            <w:r>
              <w:rPr>
                <w:rFonts w:cs="Verdana" w:ascii="Verdana" w:hAnsi="Verdana"/>
              </w:rPr>
              <w:t>Il Responsabile U.O.</w:t>
            </w:r>
          </w:p>
          <w:p>
            <w:pPr>
              <w:pStyle w:val="Standard"/>
              <w:jc w:val="center"/>
              <w:rPr>
                <w:rFonts w:ascii="Verdana" w:hAnsi="Verdana" w:cs="Verdana"/>
              </w:rPr>
            </w:pPr>
            <w:r>
              <w:rPr>
                <w:rFonts w:cs="Verdana" w:ascii="Verdana" w:hAnsi="Verdana"/>
              </w:rPr>
              <w:t>Edilizia Scolastica</w:t>
            </w:r>
          </w:p>
          <w:p>
            <w:pPr>
              <w:pStyle w:val="Standard"/>
              <w:jc w:val="center"/>
              <w:rPr>
                <w:rFonts w:ascii="Verdana" w:hAnsi="Verdana" w:cs="Verdana"/>
              </w:rPr>
            </w:pPr>
            <w:r>
              <w:rPr>
                <w:rFonts w:cs="Verdana" w:ascii="Verdana" w:hAnsi="Verdana"/>
              </w:rPr>
              <w:t>Ing. Paola Cassinelli</w:t>
            </w:r>
          </w:p>
          <w:p>
            <w:pPr>
              <w:pStyle w:val="Standard"/>
              <w:jc w:val="center"/>
              <w:rPr>
                <w:rFonts w:ascii="Verdana" w:hAnsi="Verdana" w:eastAsia="Verdana" w:cs="Verdana"/>
              </w:rPr>
            </w:pPr>
            <w:r>
              <w:rPr>
                <w:rFonts w:eastAsia="Verdana" w:cs="Verdana" w:ascii="Verdana" w:hAnsi="Verdana"/>
              </w:rPr>
            </w:r>
          </w:p>
        </w:tc>
        <w:tc>
          <w:tcPr>
            <w:tcW w:w="5059" w:type="dxa"/>
            <w:tcBorders/>
          </w:tcPr>
          <w:p>
            <w:pPr>
              <w:pStyle w:val="Standard"/>
              <w:jc w:val="center"/>
              <w:rPr>
                <w:rFonts w:ascii="Verdana" w:hAnsi="Verdana" w:cs="Verdana"/>
              </w:rPr>
            </w:pPr>
            <w:r>
              <w:rPr>
                <w:rFonts w:cs="Verdana" w:ascii="Verdana" w:hAnsi="Verdana"/>
              </w:rPr>
              <w:t>Il professionista incaricato</w:t>
            </w:r>
          </w:p>
          <w:p>
            <w:pPr>
              <w:pStyle w:val="Standard"/>
              <w:jc w:val="center"/>
              <w:rPr>
                <w:rFonts w:ascii="Verdana" w:hAnsi="Verdana" w:cs="Verdana"/>
              </w:rPr>
            </w:pPr>
            <w:r>
              <w:rPr>
                <w:rFonts w:cs="Verdana" w:ascii="Verdana" w:hAnsi="Verdana"/>
              </w:rPr>
              <w:t>Ing. Claudio Franchi</w:t>
            </w:r>
          </w:p>
          <w:p>
            <w:pPr>
              <w:pStyle w:val="Corpodeltesto21"/>
              <w:jc w:val="center"/>
              <w:rPr/>
            </w:pPr>
            <w:r>
              <w:rPr/>
            </w:r>
          </w:p>
        </w:tc>
      </w:tr>
    </w:tbl>
    <w:p>
      <w:pPr>
        <w:pStyle w:val="Titolo3"/>
        <w:ind w:left="567" w:hanging="0"/>
        <w:jc w:val="both"/>
        <w:rPr/>
      </w:pPr>
      <w:r>
        <w:rPr/>
      </w:r>
    </w:p>
    <w:sectPr>
      <w:type w:val="nextPage"/>
      <w:pgSz w:w="11906" w:h="16838"/>
      <w:pgMar w:left="426" w:right="1134" w:header="0" w:top="709" w:footer="0" w:bottom="851" w:gutter="0"/>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OpenSymbol">
    <w:altName w:val="Arial Unicode MS"/>
    <w:charset w:val="00"/>
    <w:family w:val="roman"/>
    <w:pitch w:val="variable"/>
  </w:font>
  <w:font w:name="Symbol">
    <w:charset w:val="00"/>
    <w:family w:val="roman"/>
    <w:pitch w:val="variable"/>
  </w:font>
  <w:font w:name="Wingdings">
    <w:charset w:val="00"/>
    <w:family w:val="roman"/>
    <w:pitch w:val="variable"/>
  </w:font>
  <w:font w:name="Courier New">
    <w:charset w:val="00"/>
    <w:family w:val="roman"/>
    <w:pitch w:val="variable"/>
  </w:font>
  <w:font w:name="Arial">
    <w:charset w:val="00"/>
    <w:family w:val="roman"/>
    <w:pitch w:val="variable"/>
  </w:font>
  <w:font w:name="Verdana">
    <w:charset w:val="00"/>
    <w:family w:val="roman"/>
    <w:pitch w:val="variable"/>
  </w:font>
  <w:font w:name="Liberation Sans">
    <w:altName w:val="Arial"/>
    <w:charset w:val="00"/>
    <w:family w:val="roman"/>
    <w:pitch w:val="variable"/>
  </w:font>
  <w:font w:name="Tahoma">
    <w:charset w:val="00"/>
    <w:family w:val="roman"/>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432" w:hanging="432"/>
      </w:pPr>
      <w:rPr>
        <w:bCs/>
        <w:rFonts w:eastAsia="Arial" w:cs="Arial"/>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
    <w:lvl w:ilvl="0">
      <w:start w:val="1"/>
      <w:numFmt w:val="bullet"/>
      <w:lvlText w:val=""/>
      <w:lvlJc w:val="left"/>
      <w:pPr>
        <w:ind w:left="720" w:hanging="360"/>
      </w:pPr>
      <w:rPr>
        <w:rFonts w:ascii="Symbol" w:hAnsi="Symbol" w:cs="Symbol" w:hint="default"/>
        <w:sz w:val="20"/>
        <w:szCs w:val="20"/>
        <w:rFonts w:cs="OpenSymbol, 'Arial Unicode MS'"/>
        <w:color w:val="auto"/>
        <w:lang w:val="it-IT" w:eastAsia="zh-CN" w:bidi="ar-SA"/>
      </w:rPr>
    </w:lvl>
    <w:lvl w:ilvl="1">
      <w:start w:val="1"/>
      <w:numFmt w:val="bullet"/>
      <w:lvlText w:val=""/>
      <w:lvlJc w:val="left"/>
      <w:pPr>
        <w:ind w:left="1080" w:hanging="360"/>
      </w:pPr>
      <w:rPr>
        <w:rFonts w:ascii="Symbol" w:hAnsi="Symbol" w:cs="Symbol" w:hint="default"/>
        <w:sz w:val="20"/>
        <w:szCs w:val="20"/>
        <w:rFonts w:cs="OpenSymbol, 'Arial Unicode MS'"/>
        <w:color w:val="auto"/>
        <w:lang w:val="it-IT" w:eastAsia="zh-CN" w:bidi="ar-SA"/>
      </w:rPr>
    </w:lvl>
    <w:lvl w:ilvl="2">
      <w:start w:val="1"/>
      <w:numFmt w:val="bullet"/>
      <w:lvlText w:val=""/>
      <w:lvlJc w:val="left"/>
      <w:pPr>
        <w:ind w:left="1440" w:hanging="360"/>
      </w:pPr>
      <w:rPr>
        <w:rFonts w:ascii="Symbol" w:hAnsi="Symbol" w:cs="Symbol" w:hint="default"/>
        <w:sz w:val="20"/>
        <w:szCs w:val="20"/>
        <w:rFonts w:cs="OpenSymbol, 'Arial Unicode MS'"/>
        <w:color w:val="auto"/>
        <w:lang w:val="it-IT" w:eastAsia="zh-CN" w:bidi="ar-SA"/>
      </w:rPr>
    </w:lvl>
    <w:lvl w:ilvl="3">
      <w:start w:val="1"/>
      <w:numFmt w:val="bullet"/>
      <w:lvlText w:val=""/>
      <w:lvlJc w:val="left"/>
      <w:pPr>
        <w:ind w:left="1800" w:hanging="360"/>
      </w:pPr>
      <w:rPr>
        <w:rFonts w:ascii="Symbol" w:hAnsi="Symbol" w:cs="Symbol" w:hint="default"/>
        <w:sz w:val="20"/>
        <w:szCs w:val="20"/>
        <w:rFonts w:cs="OpenSymbol, 'Arial Unicode MS'"/>
        <w:color w:val="auto"/>
        <w:lang w:val="it-IT" w:eastAsia="zh-CN" w:bidi="ar-SA"/>
      </w:rPr>
    </w:lvl>
    <w:lvl w:ilvl="4">
      <w:start w:val="1"/>
      <w:numFmt w:val="bullet"/>
      <w:lvlText w:val=""/>
      <w:lvlJc w:val="left"/>
      <w:pPr>
        <w:ind w:left="2160" w:hanging="360"/>
      </w:pPr>
      <w:rPr>
        <w:rFonts w:ascii="Symbol" w:hAnsi="Symbol" w:cs="Symbol" w:hint="default"/>
        <w:sz w:val="20"/>
        <w:szCs w:val="20"/>
        <w:rFonts w:cs="OpenSymbol, 'Arial Unicode MS'"/>
        <w:color w:val="auto"/>
        <w:lang w:val="it-IT" w:eastAsia="zh-CN" w:bidi="ar-SA"/>
      </w:rPr>
    </w:lvl>
    <w:lvl w:ilvl="5">
      <w:start w:val="1"/>
      <w:numFmt w:val="bullet"/>
      <w:lvlText w:val=""/>
      <w:lvlJc w:val="left"/>
      <w:pPr>
        <w:ind w:left="2520" w:hanging="360"/>
      </w:pPr>
      <w:rPr>
        <w:rFonts w:ascii="Symbol" w:hAnsi="Symbol" w:cs="Symbol" w:hint="default"/>
        <w:sz w:val="20"/>
        <w:szCs w:val="20"/>
        <w:rFonts w:cs="OpenSymbol, 'Arial Unicode MS'"/>
        <w:color w:val="auto"/>
        <w:lang w:val="it-IT" w:eastAsia="zh-CN" w:bidi="ar-SA"/>
      </w:rPr>
    </w:lvl>
    <w:lvl w:ilvl="6">
      <w:start w:val="1"/>
      <w:numFmt w:val="bullet"/>
      <w:lvlText w:val=""/>
      <w:lvlJc w:val="left"/>
      <w:pPr>
        <w:ind w:left="2880" w:hanging="360"/>
      </w:pPr>
      <w:rPr>
        <w:rFonts w:ascii="Symbol" w:hAnsi="Symbol" w:cs="Symbol" w:hint="default"/>
        <w:sz w:val="20"/>
        <w:szCs w:val="20"/>
        <w:rFonts w:cs="OpenSymbol, 'Arial Unicode MS'"/>
        <w:color w:val="auto"/>
        <w:lang w:val="it-IT" w:eastAsia="zh-CN" w:bidi="ar-SA"/>
      </w:rPr>
    </w:lvl>
    <w:lvl w:ilvl="7">
      <w:start w:val="1"/>
      <w:numFmt w:val="bullet"/>
      <w:lvlText w:val=""/>
      <w:lvlJc w:val="left"/>
      <w:pPr>
        <w:ind w:left="3240" w:hanging="360"/>
      </w:pPr>
      <w:rPr>
        <w:rFonts w:ascii="Symbol" w:hAnsi="Symbol" w:cs="Symbol" w:hint="default"/>
        <w:sz w:val="20"/>
        <w:szCs w:val="20"/>
        <w:rFonts w:cs="OpenSymbol, 'Arial Unicode MS'"/>
        <w:color w:val="auto"/>
        <w:lang w:val="it-IT" w:eastAsia="zh-CN" w:bidi="ar-SA"/>
      </w:rPr>
    </w:lvl>
    <w:lvl w:ilvl="8">
      <w:start w:val="1"/>
      <w:numFmt w:val="bullet"/>
      <w:lvlText w:val=""/>
      <w:lvlJc w:val="left"/>
      <w:pPr>
        <w:ind w:left="3600" w:hanging="360"/>
      </w:pPr>
      <w:rPr>
        <w:rFonts w:ascii="Symbol" w:hAnsi="Symbol" w:cs="Symbol" w:hint="default"/>
        <w:sz w:val="20"/>
        <w:szCs w:val="20"/>
        <w:rFonts w:cs="OpenSymbol, 'Arial Unicode MS'"/>
        <w:color w:val="auto"/>
        <w:lang w:val="it-IT" w:eastAsia="zh-CN" w:bidi="ar-SA"/>
      </w:rPr>
    </w:lvl>
  </w:abstractNum>
  <w:abstractNum w:abstractNumId="3">
    <w:lvl w:ilvl="0">
      <w:start w:val="1"/>
      <w:numFmt w:val="none"/>
      <w:suff w:val="nothing"/>
      <w:lvlText w:val=""/>
      <w:lvlJc w:val="left"/>
      <w:pPr>
        <w:ind w:left="432" w:hanging="432"/>
      </w:pPr>
      <w:rPr>
        <w:bCs/>
        <w:rFonts w:eastAsia="Arial" w:cs="Arial"/>
      </w:rPr>
    </w:lvl>
    <w:lvl w:ilvl="1">
      <w:start w:val="1"/>
      <w:numFmt w:val="none"/>
      <w:suff w:val="nothing"/>
      <w:lvlText w:val=""/>
      <w:lvlJc w:val="left"/>
      <w:pPr>
        <w:ind w:left="576" w:hanging="576"/>
      </w:pPr>
    </w:lvl>
    <w:lvl w:ilvl="2">
      <w:start w:val="1"/>
      <w:numFmt w:val="none"/>
      <w:suff w:val="nothing"/>
      <w:lvlText w:val=""/>
      <w:lvlJc w:val="left"/>
      <w:pPr>
        <w:ind w:left="720" w:hanging="720"/>
      </w:p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4">
    <w:lvl w:ilvl="0">
      <w:start w:val="1"/>
      <w:numFmt w:val="lowerLetter"/>
      <w:lvlText w:val="%1)"/>
      <w:lvlJc w:val="left"/>
      <w:pPr>
        <w:ind w:left="720" w:hanging="360"/>
      </w:pPr>
      <w:rPr>
        <w:sz w:val="20"/>
        <w:szCs w:val="20"/>
        <w:color w:val="auto"/>
        <w:lang w:val="it-IT" w:eastAsia="zh-CN" w:bidi="ar-SA"/>
      </w:rPr>
    </w:lvl>
    <w:lvl w:ilvl="1">
      <w:start w:val="1"/>
      <w:numFmt w:val="bullet"/>
      <w:lvlText w:val=""/>
      <w:lvlJc w:val="left"/>
      <w:pPr>
        <w:ind w:left="1080" w:hanging="360"/>
      </w:pPr>
      <w:rPr>
        <w:rFonts w:ascii="Symbol" w:hAnsi="Symbol" w:cs="Symbol" w:hint="default"/>
        <w:sz w:val="20"/>
        <w:szCs w:val="20"/>
        <w:rFonts w:cs="OpenSymbol, 'Arial Unicode MS'"/>
        <w:color w:val="auto"/>
        <w:lang w:val="it-IT" w:eastAsia="zh-CN" w:bidi="ar-SA"/>
      </w:rPr>
    </w:lvl>
    <w:lvl w:ilvl="2">
      <w:start w:val="1"/>
      <w:numFmt w:val="bullet"/>
      <w:lvlText w:val=""/>
      <w:lvlJc w:val="left"/>
      <w:pPr>
        <w:ind w:left="1440" w:hanging="360"/>
      </w:pPr>
      <w:rPr>
        <w:rFonts w:ascii="Symbol" w:hAnsi="Symbol" w:cs="Symbol" w:hint="default"/>
        <w:sz w:val="20"/>
        <w:szCs w:val="20"/>
        <w:rFonts w:cs="OpenSymbol, 'Arial Unicode MS'"/>
        <w:color w:val="auto"/>
        <w:lang w:val="it-IT" w:eastAsia="zh-CN" w:bidi="ar-SA"/>
      </w:rPr>
    </w:lvl>
    <w:lvl w:ilvl="3">
      <w:start w:val="1"/>
      <w:numFmt w:val="bullet"/>
      <w:lvlText w:val=""/>
      <w:lvlJc w:val="left"/>
      <w:pPr>
        <w:ind w:left="1800" w:hanging="360"/>
      </w:pPr>
      <w:rPr>
        <w:rFonts w:ascii="Symbol" w:hAnsi="Symbol" w:cs="Symbol" w:hint="default"/>
        <w:sz w:val="20"/>
        <w:szCs w:val="20"/>
        <w:rFonts w:cs="OpenSymbol, 'Arial Unicode MS'"/>
        <w:color w:val="auto"/>
        <w:lang w:val="it-IT" w:eastAsia="zh-CN" w:bidi="ar-SA"/>
      </w:rPr>
    </w:lvl>
    <w:lvl w:ilvl="4">
      <w:start w:val="1"/>
      <w:numFmt w:val="bullet"/>
      <w:lvlText w:val=""/>
      <w:lvlJc w:val="left"/>
      <w:pPr>
        <w:ind w:left="2160" w:hanging="360"/>
      </w:pPr>
      <w:rPr>
        <w:rFonts w:ascii="Symbol" w:hAnsi="Symbol" w:cs="Symbol" w:hint="default"/>
        <w:sz w:val="20"/>
        <w:szCs w:val="20"/>
        <w:rFonts w:cs="OpenSymbol, 'Arial Unicode MS'"/>
        <w:color w:val="auto"/>
        <w:lang w:val="it-IT" w:eastAsia="zh-CN" w:bidi="ar-SA"/>
      </w:rPr>
    </w:lvl>
    <w:lvl w:ilvl="5">
      <w:start w:val="1"/>
      <w:numFmt w:val="bullet"/>
      <w:lvlText w:val=""/>
      <w:lvlJc w:val="left"/>
      <w:pPr>
        <w:ind w:left="2520" w:hanging="360"/>
      </w:pPr>
      <w:rPr>
        <w:rFonts w:ascii="Symbol" w:hAnsi="Symbol" w:cs="Symbol" w:hint="default"/>
        <w:sz w:val="20"/>
        <w:szCs w:val="20"/>
        <w:rFonts w:cs="OpenSymbol, 'Arial Unicode MS'"/>
        <w:color w:val="auto"/>
        <w:lang w:val="it-IT" w:eastAsia="zh-CN" w:bidi="ar-SA"/>
      </w:rPr>
    </w:lvl>
    <w:lvl w:ilvl="6">
      <w:start w:val="1"/>
      <w:numFmt w:val="bullet"/>
      <w:lvlText w:val=""/>
      <w:lvlJc w:val="left"/>
      <w:pPr>
        <w:ind w:left="2880" w:hanging="360"/>
      </w:pPr>
      <w:rPr>
        <w:rFonts w:ascii="Symbol" w:hAnsi="Symbol" w:cs="Symbol" w:hint="default"/>
        <w:sz w:val="20"/>
        <w:szCs w:val="20"/>
        <w:rFonts w:cs="OpenSymbol, 'Arial Unicode MS'"/>
        <w:color w:val="auto"/>
        <w:lang w:val="it-IT" w:eastAsia="zh-CN" w:bidi="ar-SA"/>
      </w:rPr>
    </w:lvl>
    <w:lvl w:ilvl="7">
      <w:start w:val="1"/>
      <w:numFmt w:val="bullet"/>
      <w:lvlText w:val=""/>
      <w:lvlJc w:val="left"/>
      <w:pPr>
        <w:ind w:left="3240" w:hanging="360"/>
      </w:pPr>
      <w:rPr>
        <w:rFonts w:ascii="Symbol" w:hAnsi="Symbol" w:cs="Symbol" w:hint="default"/>
        <w:sz w:val="20"/>
        <w:szCs w:val="20"/>
        <w:rFonts w:cs="OpenSymbol, 'Arial Unicode MS'"/>
        <w:color w:val="auto"/>
        <w:lang w:val="it-IT" w:eastAsia="zh-CN" w:bidi="ar-SA"/>
      </w:rPr>
    </w:lvl>
    <w:lvl w:ilvl="8">
      <w:start w:val="1"/>
      <w:numFmt w:val="bullet"/>
      <w:lvlText w:val=""/>
      <w:lvlJc w:val="left"/>
      <w:pPr>
        <w:ind w:left="3600" w:hanging="360"/>
      </w:pPr>
      <w:rPr>
        <w:rFonts w:ascii="Symbol" w:hAnsi="Symbol" w:cs="Symbol" w:hint="default"/>
        <w:sz w:val="20"/>
        <w:szCs w:val="20"/>
        <w:rFonts w:cs="OpenSymbol, 'Arial Unicode MS'"/>
        <w:color w:val="auto"/>
        <w:lang w:val="it-IT" w:eastAsia="zh-CN" w:bidi="ar-SA"/>
      </w:rPr>
    </w:lvl>
  </w:abstractNum>
  <w:abstractNum w:abstractNumId="5">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 w:numId="5">
    <w:abstractNumId w:val="5"/>
  </w:num>
  <w:num w:numId="6">
    <w:abstractNumId w:val="3"/>
    <w:lvlOverride w:ilvl="0">
      <w:lvl w:ilvl="0">
        <w:start w:val="1"/>
        <w:numFmt w:val="none"/>
        <w:suff w:val="nothing"/>
        <w:lvlText w:val=""/>
        <w:lvlJc w:val="left"/>
        <w:pPr>
          <w:ind w:left="432" w:hanging="432"/>
        </w:pPr>
        <w:rPr>
          <w:bCs/>
          <w:rFonts w:eastAsia="Arial" w:cs="Arial"/>
        </w:rPr>
      </w:lvl>
    </w:lvlOverride>
  </w:num>
</w:numbering>
</file>

<file path=word/settings.xml><?xml version="1.0" encoding="utf-8"?>
<w:settings xmlns:w="http://schemas.openxmlformats.org/wordprocessingml/2006/main">
  <w:zoom w:percent="90"/>
  <w:defaultTabStop w:val="720"/>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hyphenationZone w:val="283"/>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Arial"/>
        <w:sz w:val="24"/>
        <w:szCs w:val="24"/>
        <w:lang w:val="it-IT" w:eastAsia="zh-CN" w:bidi="hi-IN"/>
      </w:rPr>
    </w:rPrDefault>
    <w:pPrDefault>
      <w:pPr>
        <w:suppressAutoHyphens w:val="true"/>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pPr>
      <w:widowControl w:val="false"/>
      <w:suppressAutoHyphens w:val="true"/>
      <w:bidi w:val="0"/>
      <w:spacing w:before="0" w:after="0"/>
      <w:jc w:val="left"/>
      <w:textAlignment w:val="baseline"/>
    </w:pPr>
    <w:rPr>
      <w:rFonts w:ascii="Liberation Serif" w:hAnsi="Liberation Serif" w:eastAsia="NSimSun" w:cs="Arial"/>
      <w:color w:val="auto"/>
      <w:kern w:val="0"/>
      <w:sz w:val="24"/>
      <w:szCs w:val="24"/>
      <w:lang w:val="it-IT" w:eastAsia="zh-CN" w:bidi="hi-IN"/>
    </w:rPr>
  </w:style>
  <w:style w:type="paragraph" w:styleId="Titolo1">
    <w:name w:val="Heading 1"/>
    <w:basedOn w:val="Standard"/>
    <w:next w:val="Standard"/>
    <w:uiPriority w:val="9"/>
    <w:qFormat/>
    <w:pPr>
      <w:keepNext w:val="true"/>
      <w:shd w:val="clear" w:color="auto" w:fill="F2F2F2"/>
      <w:spacing w:before="567" w:after="227"/>
      <w:outlineLvl w:val="0"/>
    </w:pPr>
    <w:rPr>
      <w:b/>
      <w:sz w:val="28"/>
      <w:szCs w:val="28"/>
    </w:rPr>
  </w:style>
  <w:style w:type="paragraph" w:styleId="Titolo2">
    <w:name w:val="Heading 2"/>
    <w:basedOn w:val="Standard"/>
    <w:next w:val="Standard"/>
    <w:uiPriority w:val="9"/>
    <w:unhideWhenUsed/>
    <w:qFormat/>
    <w:pPr>
      <w:keepNext w:val="true"/>
      <w:jc w:val="center"/>
      <w:outlineLvl w:val="1"/>
    </w:pPr>
    <w:rPr>
      <w:b/>
      <w:sz w:val="28"/>
    </w:rPr>
  </w:style>
  <w:style w:type="paragraph" w:styleId="Titolo3">
    <w:name w:val="Heading 3"/>
    <w:basedOn w:val="Standard"/>
    <w:next w:val="Standard"/>
    <w:uiPriority w:val="9"/>
    <w:unhideWhenUsed/>
    <w:qFormat/>
    <w:pPr>
      <w:keepNext w:val="true"/>
      <w:jc w:val="center"/>
      <w:outlineLvl w:val="2"/>
    </w:pPr>
    <w:rPr>
      <w:b/>
      <w:sz w:val="24"/>
    </w:rPr>
  </w:style>
  <w:style w:type="paragraph" w:styleId="Titolo4">
    <w:name w:val="Heading 4"/>
    <w:basedOn w:val="Standard"/>
    <w:next w:val="Standard"/>
    <w:uiPriority w:val="9"/>
    <w:unhideWhenUsed/>
    <w:qFormat/>
    <w:pPr>
      <w:keepNext w:val="true"/>
      <w:jc w:val="both"/>
      <w:outlineLvl w:val="3"/>
    </w:pPr>
    <w:rPr>
      <w:b/>
      <w:sz w:val="24"/>
    </w:rPr>
  </w:style>
  <w:style w:type="paragraph" w:styleId="Titolo5">
    <w:name w:val="Heading 5"/>
    <w:basedOn w:val="Standard"/>
    <w:next w:val="Standard"/>
    <w:uiPriority w:val="9"/>
    <w:unhideWhenUsed/>
    <w:qFormat/>
    <w:pPr>
      <w:keepNext w:val="true"/>
      <w:outlineLvl w:val="4"/>
    </w:pPr>
    <w:rPr>
      <w:sz w:val="24"/>
    </w:rPr>
  </w:style>
  <w:style w:type="paragraph" w:styleId="Titolo6">
    <w:name w:val="Heading 6"/>
    <w:basedOn w:val="Standard"/>
    <w:next w:val="Standard"/>
    <w:uiPriority w:val="9"/>
    <w:unhideWhenUsed/>
    <w:qFormat/>
    <w:pPr>
      <w:keepNext w:val="true"/>
      <w:jc w:val="center"/>
      <w:outlineLvl w:val="5"/>
    </w:pPr>
    <w:rPr>
      <w:i/>
      <w:spacing w:val="10"/>
      <w:sz w:val="16"/>
    </w:rPr>
  </w:style>
  <w:style w:type="paragraph" w:styleId="Titolo7">
    <w:name w:val="Heading 7"/>
    <w:basedOn w:val="Standard"/>
    <w:next w:val="Standard"/>
    <w:qFormat/>
    <w:pPr>
      <w:keepNext w:val="true"/>
      <w:spacing w:lineRule="auto" w:line="360"/>
      <w:outlineLvl w:val="6"/>
    </w:pPr>
    <w:rPr>
      <w:b/>
      <w:sz w:val="24"/>
    </w:rPr>
  </w:style>
  <w:style w:type="character" w:styleId="DefaultParagraphFont" w:default="1">
    <w:name w:val="Default Paragraph Font"/>
    <w:uiPriority w:val="1"/>
    <w:semiHidden/>
    <w:unhideWhenUsed/>
    <w:qFormat/>
    <w:rPr/>
  </w:style>
  <w:style w:type="character" w:styleId="Punti" w:customStyle="1">
    <w:name w:val="Punti"/>
    <w:qFormat/>
    <w:rPr>
      <w:rFonts w:ascii="OpenSymbol, 'Arial Unicode MS'" w:hAnsi="OpenSymbol, 'Arial Unicode MS'" w:eastAsia="OpenSymbol, 'Arial Unicode MS'" w:cs="OpenSymbol, 'Arial Unicode MS'"/>
    </w:rPr>
  </w:style>
  <w:style w:type="character" w:styleId="Internetlink" w:customStyle="1">
    <w:name w:val="Hyperlink"/>
    <w:qFormat/>
    <w:rPr>
      <w:color w:val="000080"/>
      <w:u w:val="single"/>
    </w:rPr>
  </w:style>
  <w:style w:type="character" w:styleId="Enfasiforte" w:customStyle="1">
    <w:name w:val="Enfasi forte"/>
    <w:qFormat/>
    <w:rPr>
      <w:b/>
      <w:bCs/>
    </w:rPr>
  </w:style>
  <w:style w:type="character" w:styleId="Carpredefinitoparagrafo1" w:customStyle="1">
    <w:name w:val="Car. predefinito paragrafo1"/>
    <w:qFormat/>
    <w:rPr/>
  </w:style>
  <w:style w:type="character" w:styleId="WW8NumSt1z0" w:customStyle="1">
    <w:name w:val="WW8NumSt1z0"/>
    <w:qFormat/>
    <w:rPr>
      <w:rFonts w:ascii="Symbol" w:hAnsi="Symbol" w:eastAsia="Symbol" w:cs="Symbol"/>
    </w:rPr>
  </w:style>
  <w:style w:type="character" w:styleId="WW8Num13z0" w:customStyle="1">
    <w:name w:val="WW8Num13z0"/>
    <w:qFormat/>
    <w:rPr/>
  </w:style>
  <w:style w:type="character" w:styleId="WW8Num12z3" w:customStyle="1">
    <w:name w:val="WW8Num12z3"/>
    <w:qFormat/>
    <w:rPr>
      <w:rFonts w:ascii="Symbol" w:hAnsi="Symbol" w:eastAsia="Symbol" w:cs="Symbol"/>
    </w:rPr>
  </w:style>
  <w:style w:type="character" w:styleId="WW8Num12z2" w:customStyle="1">
    <w:name w:val="WW8Num12z2"/>
    <w:qFormat/>
    <w:rPr>
      <w:rFonts w:ascii="Wingdings" w:hAnsi="Wingdings" w:eastAsia="Wingdings" w:cs="Wingdings"/>
    </w:rPr>
  </w:style>
  <w:style w:type="character" w:styleId="WW8Num12z1" w:customStyle="1">
    <w:name w:val="WW8Num12z1"/>
    <w:qFormat/>
    <w:rPr>
      <w:rFonts w:ascii="Courier New" w:hAnsi="Courier New" w:eastAsia="Courier New" w:cs="Courier New"/>
    </w:rPr>
  </w:style>
  <w:style w:type="character" w:styleId="WW8Num12z0" w:customStyle="1">
    <w:name w:val="WW8Num12z0"/>
    <w:qFormat/>
    <w:rPr>
      <w:rFonts w:ascii="Times New Roman" w:hAnsi="Times New Roman" w:eastAsia="Times New Roman" w:cs="Times New Roman"/>
    </w:rPr>
  </w:style>
  <w:style w:type="character" w:styleId="WW8Num11z0" w:customStyle="1">
    <w:name w:val="WW8Num11z0"/>
    <w:qFormat/>
    <w:rPr/>
  </w:style>
  <w:style w:type="character" w:styleId="WW8Num10z0" w:customStyle="1">
    <w:name w:val="WW8Num10z0"/>
    <w:qFormat/>
    <w:rPr>
      <w:rFonts w:ascii="Symbol" w:hAnsi="Symbol" w:eastAsia="Symbol" w:cs="Symbol"/>
    </w:rPr>
  </w:style>
  <w:style w:type="character" w:styleId="WW8Num9z0" w:customStyle="1">
    <w:name w:val="WW8Num9z0"/>
    <w:qFormat/>
    <w:rPr>
      <w:b/>
    </w:rPr>
  </w:style>
  <w:style w:type="character" w:styleId="WW8Num8z3" w:customStyle="1">
    <w:name w:val="WW8Num8z3"/>
    <w:qFormat/>
    <w:rPr>
      <w:rFonts w:ascii="Symbol" w:hAnsi="Symbol" w:eastAsia="Symbol" w:cs="Symbol"/>
    </w:rPr>
  </w:style>
  <w:style w:type="character" w:styleId="WW8Num8z2" w:customStyle="1">
    <w:name w:val="WW8Num8z2"/>
    <w:qFormat/>
    <w:rPr>
      <w:rFonts w:ascii="Wingdings" w:hAnsi="Wingdings" w:eastAsia="Wingdings" w:cs="Wingdings"/>
    </w:rPr>
  </w:style>
  <w:style w:type="character" w:styleId="WW8Num8z1" w:customStyle="1">
    <w:name w:val="WW8Num8z1"/>
    <w:qFormat/>
    <w:rPr>
      <w:rFonts w:ascii="Courier New" w:hAnsi="Courier New" w:eastAsia="Courier New" w:cs="Courier New"/>
    </w:rPr>
  </w:style>
  <w:style w:type="character" w:styleId="WW8Num8z0" w:customStyle="1">
    <w:name w:val="WW8Num8z0"/>
    <w:qFormat/>
    <w:rPr>
      <w:rFonts w:ascii="Arial" w:hAnsi="Arial" w:eastAsia="Times New Roman" w:cs="Arial"/>
    </w:rPr>
  </w:style>
  <w:style w:type="character" w:styleId="WW8Num7z0" w:customStyle="1">
    <w:name w:val="WW8Num7z0"/>
    <w:qFormat/>
    <w:rPr/>
  </w:style>
  <w:style w:type="character" w:styleId="WW8Num6z0" w:customStyle="1">
    <w:name w:val="WW8Num6z0"/>
    <w:qFormat/>
    <w:rPr/>
  </w:style>
  <w:style w:type="character" w:styleId="WW8Num5z3" w:customStyle="1">
    <w:name w:val="WW8Num5z3"/>
    <w:qFormat/>
    <w:rPr>
      <w:rFonts w:ascii="Symbol" w:hAnsi="Symbol" w:eastAsia="Symbol" w:cs="Symbol"/>
    </w:rPr>
  </w:style>
  <w:style w:type="character" w:styleId="WW8Num5z2" w:customStyle="1">
    <w:name w:val="WW8Num5z2"/>
    <w:qFormat/>
    <w:rPr>
      <w:rFonts w:ascii="Wingdings" w:hAnsi="Wingdings" w:eastAsia="Wingdings" w:cs="Wingdings"/>
    </w:rPr>
  </w:style>
  <w:style w:type="character" w:styleId="WW8Num5z1" w:customStyle="1">
    <w:name w:val="WW8Num5z1"/>
    <w:qFormat/>
    <w:rPr>
      <w:rFonts w:ascii="Courier New" w:hAnsi="Courier New" w:eastAsia="Courier New" w:cs="Courier New"/>
    </w:rPr>
  </w:style>
  <w:style w:type="character" w:styleId="WW8Num5z0" w:customStyle="1">
    <w:name w:val="WW8Num5z0"/>
    <w:qFormat/>
    <w:rPr>
      <w:rFonts w:ascii="Verdana" w:hAnsi="Verdana" w:eastAsia="Times New Roman" w:cs="Times New Roman"/>
    </w:rPr>
  </w:style>
  <w:style w:type="character" w:styleId="Carpredefinitoparagrafo2" w:customStyle="1">
    <w:name w:val="Car. predefinito paragrafo2"/>
    <w:qFormat/>
    <w:rPr/>
  </w:style>
  <w:style w:type="character" w:styleId="WW8Num3z3" w:customStyle="1">
    <w:name w:val="WW8Num3z3"/>
    <w:qFormat/>
    <w:rPr>
      <w:rFonts w:ascii="Symbol" w:hAnsi="Symbol" w:eastAsia="Symbol" w:cs="Symbol"/>
    </w:rPr>
  </w:style>
  <w:style w:type="character" w:styleId="WW8Num3z2" w:customStyle="1">
    <w:name w:val="WW8Num3z2"/>
    <w:qFormat/>
    <w:rPr>
      <w:rFonts w:ascii="Wingdings" w:hAnsi="Wingdings" w:eastAsia="Wingdings" w:cs="Wingdings"/>
    </w:rPr>
  </w:style>
  <w:style w:type="character" w:styleId="WW8Num3z1" w:customStyle="1">
    <w:name w:val="WW8Num3z1"/>
    <w:qFormat/>
    <w:rPr>
      <w:rFonts w:ascii="Courier New" w:hAnsi="Courier New" w:eastAsia="Courier New" w:cs="Courier New"/>
    </w:rPr>
  </w:style>
  <w:style w:type="character" w:styleId="WW8Num4z1" w:customStyle="1">
    <w:name w:val="WW8Num4z1"/>
    <w:qFormat/>
    <w:rPr>
      <w:rFonts w:ascii="OpenSymbol, 'Arial Unicode MS'" w:hAnsi="OpenSymbol, 'Arial Unicode MS'" w:eastAsia="OpenSymbol, 'Arial Unicode MS'" w:cs="OpenSymbol, 'Arial Unicode MS'"/>
    </w:rPr>
  </w:style>
  <w:style w:type="character" w:styleId="WW8Num4z0" w:customStyle="1">
    <w:name w:val="WW8Num4z0"/>
    <w:qFormat/>
    <w:rPr>
      <w:rFonts w:ascii="Symbol" w:hAnsi="Symbol" w:eastAsia="Symbol" w:cs="OpenSymbol, 'Arial Unicode MS'"/>
      <w:sz w:val="20"/>
      <w:szCs w:val="20"/>
    </w:rPr>
  </w:style>
  <w:style w:type="character" w:styleId="WW8Num3z0" w:customStyle="1">
    <w:name w:val="WW8Num3z0"/>
    <w:qFormat/>
    <w:rPr>
      <w:rFonts w:ascii="Symbol" w:hAnsi="Symbol" w:eastAsia="Symbol" w:cs="OpenSymbol, 'Arial Unicode MS'"/>
      <w:color w:val="auto"/>
      <w:sz w:val="20"/>
      <w:szCs w:val="20"/>
      <w:lang w:val="it-IT" w:eastAsia="zh-CN" w:bidi="ar-SA"/>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2z2" w:customStyle="1">
    <w:name w:val="WW8Num2z2"/>
    <w:qFormat/>
    <w:rPr/>
  </w:style>
  <w:style w:type="character" w:styleId="WW8Num2z1" w:customStyle="1">
    <w:name w:val="WW8Num2z1"/>
    <w:qFormat/>
    <w:rPr/>
  </w:style>
  <w:style w:type="character" w:styleId="WW8Num2z0" w:customStyle="1">
    <w:name w:val="WW8Num2z0"/>
    <w:qFormat/>
    <w:rPr>
      <w:rFonts w:ascii="Verdana" w:hAnsi="Verdana" w:eastAsia="Arial" w:cs="Arial"/>
      <w:bCs/>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paragraph" w:styleId="Titolo" w:customStyle="1">
    <w:name w:val="Titolo"/>
    <w:basedOn w:val="Standard"/>
    <w:next w:val="Textbody"/>
    <w:qFormat/>
    <w:pPr>
      <w:keepNext w:val="true"/>
      <w:spacing w:before="240" w:after="120"/>
    </w:pPr>
    <w:rPr>
      <w:rFonts w:ascii="Liberation Sans" w:hAnsi="Liberation Sans" w:eastAsia="Microsoft YaHei" w:cs="Arial"/>
      <w:sz w:val="28"/>
      <w:szCs w:val="28"/>
    </w:rPr>
  </w:style>
  <w:style w:type="paragraph" w:styleId="Corpodeltesto">
    <w:name w:val="Body Text"/>
    <w:basedOn w:val="Normal"/>
    <w:pPr>
      <w:spacing w:lineRule="auto" w:line="276" w:before="0" w:after="140"/>
    </w:pPr>
    <w:rPr/>
  </w:style>
  <w:style w:type="paragraph" w:styleId="Elenco">
    <w:name w:val="List"/>
    <w:basedOn w:val="Textbody"/>
    <w:pPr/>
    <w:rPr>
      <w:rFonts w:cs="Arial"/>
    </w:rPr>
  </w:style>
  <w:style w:type="paragraph" w:styleId="Didascalia">
    <w:name w:val="Caption"/>
    <w:basedOn w:val="Normal"/>
    <w:qFormat/>
    <w:pPr>
      <w:suppressLineNumbers/>
      <w:spacing w:before="120" w:after="120"/>
    </w:pPr>
    <w:rPr>
      <w:rFonts w:cs="Arial Unicode MS"/>
      <w:i/>
      <w:iCs/>
      <w:sz w:val="24"/>
      <w:szCs w:val="24"/>
    </w:rPr>
  </w:style>
  <w:style w:type="paragraph" w:styleId="Indice" w:customStyle="1">
    <w:name w:val="Indice"/>
    <w:basedOn w:val="Standard"/>
    <w:qFormat/>
    <w:pPr>
      <w:suppressLineNumbers/>
    </w:pPr>
    <w:rPr>
      <w:rFonts w:cs="Arial"/>
    </w:rPr>
  </w:style>
  <w:style w:type="paragraph" w:styleId="Standard" w:customStyle="1">
    <w:name w:val="Standard"/>
    <w:qFormat/>
    <w:pPr>
      <w:widowControl/>
      <w:suppressAutoHyphens w:val="true"/>
      <w:bidi w:val="0"/>
      <w:spacing w:before="0" w:after="0"/>
      <w:jc w:val="left"/>
      <w:textAlignment w:val="baseline"/>
    </w:pPr>
    <w:rPr>
      <w:rFonts w:ascii="Times New Roman" w:hAnsi="Times New Roman" w:eastAsia="Times New Roman" w:cs="Times New Roman"/>
      <w:color w:val="auto"/>
      <w:kern w:val="0"/>
      <w:sz w:val="20"/>
      <w:szCs w:val="20"/>
      <w:lang w:bidi="ar-SA" w:val="it-IT" w:eastAsia="zh-CN"/>
    </w:rPr>
  </w:style>
  <w:style w:type="paragraph" w:styleId="Textbody" w:customStyle="1">
    <w:name w:val="Text body"/>
    <w:basedOn w:val="Standard"/>
    <w:qFormat/>
    <w:pPr>
      <w:jc w:val="both"/>
    </w:pPr>
    <w:rPr>
      <w:sz w:val="24"/>
    </w:rPr>
  </w:style>
  <w:style w:type="paragraph" w:styleId="Caption">
    <w:name w:val="caption"/>
    <w:basedOn w:val="Standard"/>
    <w:qFormat/>
    <w:pPr>
      <w:suppressLineNumbers/>
      <w:spacing w:before="120" w:after="120"/>
    </w:pPr>
    <w:rPr>
      <w:rFonts w:cs="Lucida Sans"/>
      <w:i/>
      <w:iCs/>
      <w:sz w:val="24"/>
      <w:szCs w:val="24"/>
    </w:rPr>
  </w:style>
  <w:style w:type="paragraph" w:styleId="ListParagraph">
    <w:name w:val="List Paragraph"/>
    <w:basedOn w:val="Standard"/>
    <w:qFormat/>
    <w:pPr>
      <w:ind w:left="720" w:firstLine="709"/>
    </w:pPr>
    <w:rPr/>
  </w:style>
  <w:style w:type="paragraph" w:styleId="Titoloprincipale">
    <w:name w:val="Title"/>
    <w:basedOn w:val="Titolo"/>
    <w:next w:val="Textbody"/>
    <w:uiPriority w:val="10"/>
    <w:qFormat/>
    <w:pPr>
      <w:jc w:val="center"/>
    </w:pPr>
    <w:rPr>
      <w:b/>
      <w:bCs/>
      <w:sz w:val="56"/>
      <w:szCs w:val="56"/>
    </w:rPr>
  </w:style>
  <w:style w:type="paragraph" w:styleId="Contenutocornice" w:customStyle="1">
    <w:name w:val="Contenuto cornice"/>
    <w:basedOn w:val="Standard"/>
    <w:qFormat/>
    <w:pPr/>
    <w:rPr/>
  </w:style>
  <w:style w:type="paragraph" w:styleId="Testocitato" w:customStyle="1">
    <w:name w:val="Testo citato"/>
    <w:basedOn w:val="Standard"/>
    <w:qFormat/>
    <w:pPr>
      <w:spacing w:before="0" w:after="283"/>
      <w:ind w:left="567" w:right="567" w:hanging="0"/>
    </w:pPr>
    <w:rPr/>
  </w:style>
  <w:style w:type="paragraph" w:styleId="Default" w:customStyle="1">
    <w:name w:val="Default"/>
    <w:qFormat/>
    <w:pPr>
      <w:widowControl/>
      <w:suppressAutoHyphens w:val="true"/>
      <w:bidi w:val="0"/>
      <w:spacing w:before="0" w:after="0"/>
      <w:jc w:val="left"/>
      <w:textAlignment w:val="baseline"/>
    </w:pPr>
    <w:rPr>
      <w:rFonts w:ascii="Arial" w:hAnsi="Arial" w:eastAsia="Times New Roman" w:cs="Arial"/>
      <w:color w:val="000000"/>
      <w:kern w:val="0"/>
      <w:sz w:val="24"/>
      <w:szCs w:val="24"/>
      <w:lang w:bidi="ar-SA" w:val="it-IT" w:eastAsia="zh-CN"/>
    </w:rPr>
  </w:style>
  <w:style w:type="paragraph" w:styleId="Contenutotabella" w:customStyle="1">
    <w:name w:val="Contenuto tabella"/>
    <w:basedOn w:val="Standard"/>
    <w:qFormat/>
    <w:pPr>
      <w:suppressLineNumbers/>
    </w:pPr>
    <w:rPr/>
  </w:style>
  <w:style w:type="paragraph" w:styleId="Titolotabella" w:customStyle="1">
    <w:name w:val="Titolo tabella"/>
    <w:basedOn w:val="Contenutotabella"/>
    <w:qFormat/>
    <w:pPr>
      <w:jc w:val="center"/>
    </w:pPr>
    <w:rPr>
      <w:b/>
      <w:bCs/>
    </w:rPr>
  </w:style>
  <w:style w:type="paragraph" w:styleId="Intestazionetabella" w:customStyle="1">
    <w:name w:val="Intestazione tabella"/>
    <w:basedOn w:val="Contenutotabella"/>
    <w:qFormat/>
    <w:pPr>
      <w:jc w:val="center"/>
    </w:pPr>
    <w:rPr>
      <w:b/>
      <w:bCs/>
    </w:rPr>
  </w:style>
  <w:style w:type="paragraph" w:styleId="Textbodyindent" w:customStyle="1">
    <w:name w:val="Text body indent"/>
    <w:basedOn w:val="Standard"/>
    <w:qFormat/>
    <w:pPr>
      <w:spacing w:before="0" w:after="120"/>
      <w:ind w:left="283" w:hanging="0"/>
    </w:pPr>
    <w:rPr/>
  </w:style>
  <w:style w:type="paragraph" w:styleId="NormalWeb">
    <w:name w:val="Normal (Web)"/>
    <w:basedOn w:val="Standard"/>
    <w:qFormat/>
    <w:pPr>
      <w:spacing w:before="100" w:after="100"/>
    </w:pPr>
    <w:rPr>
      <w:sz w:val="24"/>
      <w:szCs w:val="24"/>
    </w:rPr>
  </w:style>
  <w:style w:type="paragraph" w:styleId="Xxx" w:customStyle="1">
    <w:name w:val="xxx"/>
    <w:qFormat/>
    <w:pPr>
      <w:widowControl/>
      <w:suppressAutoHyphens w:val="true"/>
      <w:bidi w:val="0"/>
      <w:spacing w:before="0" w:after="0"/>
      <w:jc w:val="both"/>
      <w:textAlignment w:val="baseline"/>
    </w:pPr>
    <w:rPr>
      <w:rFonts w:ascii="Arial" w:hAnsi="Arial" w:eastAsia="Times New Roman" w:cs="Arial"/>
      <w:color w:val="auto"/>
      <w:kern w:val="0"/>
      <w:sz w:val="20"/>
      <w:szCs w:val="20"/>
      <w:lang w:bidi="ar-SA" w:val="it-IT" w:eastAsia="zh-CN"/>
    </w:rPr>
  </w:style>
  <w:style w:type="paragraph" w:styleId="L" w:customStyle="1">
    <w:name w:val="L"/>
    <w:basedOn w:val="Standard"/>
    <w:qFormat/>
    <w:pPr>
      <w:jc w:val="both"/>
    </w:pPr>
    <w:rPr>
      <w:sz w:val="24"/>
    </w:rPr>
  </w:style>
  <w:style w:type="paragraph" w:styleId="BalloonText">
    <w:name w:val="Balloon Text"/>
    <w:basedOn w:val="Standard"/>
    <w:qFormat/>
    <w:pPr/>
    <w:rPr>
      <w:rFonts w:ascii="Tahoma" w:hAnsi="Tahoma" w:eastAsia="Tahoma" w:cs="Tahoma"/>
      <w:sz w:val="16"/>
      <w:szCs w:val="16"/>
    </w:rPr>
  </w:style>
  <w:style w:type="paragraph" w:styleId="Corpodeltesto21" w:customStyle="1">
    <w:name w:val="Corpo del testo 21"/>
    <w:basedOn w:val="Standard"/>
    <w:qFormat/>
    <w:pPr>
      <w:jc w:val="both"/>
    </w:pPr>
    <w:rPr>
      <w:rFonts w:ascii="Verdana" w:hAnsi="Verdana" w:eastAsia="Verdana" w:cs="Verdana"/>
    </w:rPr>
  </w:style>
  <w:style w:type="paragraph" w:styleId="Testonormale1" w:customStyle="1">
    <w:name w:val="Testo normale1"/>
    <w:basedOn w:val="Standard"/>
    <w:qFormat/>
    <w:pPr>
      <w:widowControl w:val="false"/>
    </w:pPr>
    <w:rPr>
      <w:rFonts w:ascii="Courier New" w:hAnsi="Courier New" w:eastAsia="Courier New" w:cs="Courier New"/>
    </w:rPr>
  </w:style>
  <w:style w:type="paragraph" w:styleId="Mappadocumento1" w:customStyle="1">
    <w:name w:val="Mappa documento1"/>
    <w:basedOn w:val="Standard"/>
    <w:qFormat/>
    <w:pPr>
      <w:shd w:val="clear" w:color="auto" w:fill="000080"/>
    </w:pPr>
    <w:rPr>
      <w:rFonts w:ascii="Tahoma" w:hAnsi="Tahoma" w:eastAsia="Tahoma" w:cs="Tahoma"/>
    </w:rPr>
  </w:style>
  <w:style w:type="paragraph" w:styleId="Intestazioneepidipagina" w:customStyle="1">
    <w:name w:val="Intestazione e piè di pagina"/>
    <w:basedOn w:val="Standard"/>
    <w:qFormat/>
    <w:pPr>
      <w:suppressLineNumbers/>
      <w:tabs>
        <w:tab w:val="clear" w:pos="720"/>
        <w:tab w:val="center" w:pos="4819" w:leader="none"/>
        <w:tab w:val="right" w:pos="9638" w:leader="none"/>
      </w:tabs>
    </w:pPr>
    <w:rPr/>
  </w:style>
  <w:style w:type="paragraph" w:styleId="Intestazione">
    <w:name w:val="Header"/>
    <w:basedOn w:val="Standard"/>
    <w:pPr>
      <w:widowControl w:val="false"/>
      <w:tabs>
        <w:tab w:val="clear" w:pos="720"/>
        <w:tab w:val="center" w:pos="4819" w:leader="none"/>
        <w:tab w:val="right" w:pos="9638" w:leader="none"/>
      </w:tabs>
    </w:pPr>
    <w:rPr>
      <w:sz w:val="24"/>
    </w:rPr>
  </w:style>
  <w:style w:type="paragraph" w:styleId="Didascalia1" w:customStyle="1">
    <w:name w:val="Didascalia1"/>
    <w:basedOn w:val="Standard"/>
    <w:qFormat/>
    <w:pPr>
      <w:suppressLineNumbers/>
      <w:spacing w:before="120" w:after="120"/>
    </w:pPr>
    <w:rPr>
      <w:rFonts w:cs="Arial"/>
      <w:i/>
      <w:iCs/>
      <w:sz w:val="24"/>
      <w:szCs w:val="24"/>
    </w:rPr>
  </w:style>
  <w:style w:type="paragraph" w:styleId="Intestazione1" w:customStyle="1">
    <w:name w:val="Intestazione1"/>
    <w:basedOn w:val="Standard"/>
    <w:next w:val="Textbody"/>
    <w:qFormat/>
    <w:pPr>
      <w:keepNext w:val="true"/>
      <w:spacing w:before="240" w:after="120"/>
    </w:pPr>
    <w:rPr>
      <w:rFonts w:ascii="Arial" w:hAnsi="Arial" w:eastAsia="Microsoft YaHei" w:cs="Arial"/>
      <w:sz w:val="28"/>
      <w:szCs w:val="28"/>
    </w:rPr>
  </w:style>
  <w:style w:type="paragraph" w:styleId="Titolo11" w:customStyle="1">
    <w:name w:val="Titolo1"/>
    <w:basedOn w:val="Standard"/>
    <w:next w:val="Textbody"/>
    <w:qFormat/>
    <w:pPr>
      <w:keepNext w:val="true"/>
      <w:spacing w:before="240" w:after="120"/>
    </w:pPr>
    <w:rPr>
      <w:rFonts w:ascii="Liberation Sans" w:hAnsi="Liberation Sans" w:eastAsia="Microsoft YaHei" w:cs="Lucida Sans"/>
      <w:sz w:val="28"/>
      <w:szCs w:val="28"/>
    </w:rPr>
  </w:style>
  <w:style w:type="numbering" w:styleId="NoList" w:default="1">
    <w:name w:val="No List"/>
    <w:uiPriority w:val="99"/>
    <w:semiHidden/>
    <w:unhideWhenUsed/>
    <w:qFormat/>
  </w:style>
  <w:style w:type="numbering" w:styleId="WW8Num1" w:customStyle="1">
    <w:name w:val="WW8Num1"/>
    <w:qFormat/>
  </w:style>
  <w:style w:type="numbering" w:styleId="WW8Num2" w:customStyle="1">
    <w:name w:val="WW8Num2"/>
    <w:qFormat/>
  </w:style>
  <w:style w:type="numbering" w:styleId="WW8Num3" w:customStyle="1">
    <w:name w:val="WW8Num3"/>
    <w:qFormat/>
  </w:style>
  <w:style w:type="numbering" w:styleId="WW8Num4" w:customStyle="1">
    <w:name w:val="WW8Num4"/>
    <w:qFormat/>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numbering" Target="numbering.xml"/><Relationship Id="rId4" Type="http://schemas.openxmlformats.org/officeDocument/2006/relationships/fontTable" Target="fontTable.xml"/><Relationship Id="rId5" Type="http://schemas.openxmlformats.org/officeDocument/2006/relationships/settings" Target="settings.xml"/><Relationship Id="rId6" Type="http://schemas.openxmlformats.org/officeDocument/2006/relationships/theme" Target="theme/theme1.xml"/>
</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Application>LibreOffice/6.4.4.2$Windows_X86_64 LibreOffice_project/3d775be2011f3886db32dfd395a6a6d1ca2630ff</Application>
  <Pages>5</Pages>
  <Words>1899</Words>
  <Characters>11557</Characters>
  <CharactersWithSpaces>13381</CharactersWithSpaces>
  <Paragraphs>103</Paragraphs>
  <Company>Provincia.Parma</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2023-07-19T10:31:00Z</dcterms:created>
  <dc:creator>Provincia di Parma</dc:creator>
  <dc:description/>
  <dc:language>it-IT</dc:language>
  <cp:lastModifiedBy/>
  <dcterms:modified xsi:type="dcterms:W3CDTF">2023-07-20T12:35:14Z</dcterms:modified>
  <cp:revision>3</cp:revision>
  <dc:subject/>
  <dc:title>Riferimento</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Provincia.Parma</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